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F9774">
      <w:pPr>
        <w:pStyle w:val="3"/>
        <w:wordWrap w:val="0"/>
        <w:spacing w:before="0" w:after="0" w:line="620" w:lineRule="exact"/>
        <w:jc w:val="left"/>
        <w:rPr>
          <w:rFonts w:hint="default" w:ascii="Times New Roman" w:hAnsi="Times New Roman" w:eastAsia="黑体" w:cs="Times New Roman"/>
          <w:b w:val="0"/>
          <w:bCs/>
          <w:sz w:val="32"/>
          <w:szCs w:val="32"/>
          <w:lang w:val="en-US" w:eastAsia="zh-CN"/>
        </w:rPr>
      </w:pPr>
      <w:bookmarkStart w:id="0" w:name="_GoBack"/>
      <w:bookmarkEnd w:id="0"/>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2</w:t>
      </w:r>
    </w:p>
    <w:p w14:paraId="3F1D4448">
      <w:pPr>
        <w:pStyle w:val="3"/>
        <w:wordWrap w:val="0"/>
        <w:spacing w:before="0" w:after="0" w:line="620" w:lineRule="exact"/>
        <w:jc w:val="center"/>
        <w:rPr>
          <w:rFonts w:hint="default" w:ascii="Times New Roman" w:hAnsi="Times New Roman" w:eastAsia="方正小标宋_GBK" w:cs="Times New Roman"/>
          <w:b w:val="0"/>
          <w:bCs/>
          <w:szCs w:val="44"/>
        </w:rPr>
      </w:pPr>
      <w:r>
        <w:rPr>
          <w:rFonts w:hint="default" w:ascii="Times New Roman" w:hAnsi="Times New Roman" w:eastAsia="方正小标宋_GBK" w:cs="Times New Roman"/>
          <w:b w:val="0"/>
          <w:bCs/>
          <w:szCs w:val="44"/>
        </w:rPr>
        <w:t>第十</w:t>
      </w:r>
      <w:r>
        <w:rPr>
          <w:rFonts w:hint="eastAsia" w:ascii="Times New Roman" w:hAnsi="Times New Roman" w:eastAsia="方正小标宋_GBK" w:cs="Times New Roman"/>
          <w:b w:val="0"/>
          <w:bCs/>
          <w:szCs w:val="44"/>
          <w:lang w:eastAsia="zh-CN"/>
        </w:rPr>
        <w:t>三</w:t>
      </w:r>
      <w:r>
        <w:rPr>
          <w:rFonts w:hint="default" w:ascii="Times New Roman" w:hAnsi="Times New Roman" w:eastAsia="方正小标宋_GBK" w:cs="Times New Roman"/>
          <w:b w:val="0"/>
          <w:bCs/>
          <w:szCs w:val="44"/>
        </w:rPr>
        <w:t>届中国创新创业大赛贵州赛区</w:t>
      </w:r>
    </w:p>
    <w:p w14:paraId="1F2506F9">
      <w:pPr>
        <w:pStyle w:val="3"/>
        <w:wordWrap w:val="0"/>
        <w:spacing w:before="0" w:after="0" w:line="620" w:lineRule="exact"/>
        <w:jc w:val="center"/>
        <w:rPr>
          <w:rFonts w:hint="default" w:ascii="Times New Roman" w:hAnsi="Times New Roman" w:eastAsia="方正小标宋_GBK" w:cs="Times New Roman"/>
          <w:b w:val="0"/>
          <w:bCs/>
          <w:szCs w:val="44"/>
        </w:rPr>
      </w:pPr>
      <w:r>
        <w:rPr>
          <w:rFonts w:hint="eastAsia" w:ascii="Times New Roman" w:hAnsi="Times New Roman" w:eastAsia="方正小标宋_GBK" w:cs="Times New Roman"/>
          <w:b w:val="0"/>
          <w:bCs/>
          <w:szCs w:val="44"/>
          <w:lang w:eastAsia="zh-CN"/>
        </w:rPr>
        <w:t>晋级</w:t>
      </w:r>
      <w:r>
        <w:rPr>
          <w:rFonts w:hint="default" w:ascii="Times New Roman" w:hAnsi="Times New Roman" w:eastAsia="方正小标宋_GBK" w:cs="Times New Roman"/>
          <w:b w:val="0"/>
          <w:bCs/>
          <w:szCs w:val="44"/>
        </w:rPr>
        <w:t>决赛企业名单</w:t>
      </w:r>
    </w:p>
    <w:tbl>
      <w:tblPr>
        <w:tblStyle w:val="4"/>
        <w:tblW w:w="49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5072"/>
        <w:gridCol w:w="2012"/>
        <w:gridCol w:w="6282"/>
      </w:tblGrid>
      <w:tr w14:paraId="7907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5412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C30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7DC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行业领域</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D37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参赛项目名称</w:t>
            </w:r>
          </w:p>
        </w:tc>
      </w:tr>
      <w:tr w14:paraId="3252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FF37C6">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初创企业组（6家）</w:t>
            </w:r>
          </w:p>
        </w:tc>
      </w:tr>
      <w:tr w14:paraId="34AB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889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082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贵州华焱新材料有限责任公司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4E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节能环保</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2D8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含铅废物中稀贵金属综合回收技术开发与产业化示范</w:t>
            </w:r>
          </w:p>
        </w:tc>
      </w:tr>
      <w:tr w14:paraId="658C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CE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B78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贵州醉牛农业科技发展有限公司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951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生物医药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2F4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贵州醉牛——全球高蛋白酒糟饲料开发应用领航者</w:t>
            </w:r>
          </w:p>
        </w:tc>
      </w:tr>
      <w:tr w14:paraId="59A5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2C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A771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贵州速威材料研究院有限公司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B75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新材料</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FFA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深海钻探用-高强度耐腐蚀HVD 双相不锈钢改进与研发</w:t>
            </w:r>
          </w:p>
        </w:tc>
      </w:tr>
      <w:tr w14:paraId="61B2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14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305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贵州兰芷数字科技有限公司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EFD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8D3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面向集群机器人的视觉感知与协同控制关键技术研发及产业化</w:t>
            </w:r>
          </w:p>
        </w:tc>
      </w:tr>
      <w:tr w14:paraId="2CE1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32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CDA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贵州施德北斗科技有限公司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64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高端装备制造</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8E4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基于北斗+MEMS实时动态安全监测赋能工程建设新发展</w:t>
            </w:r>
          </w:p>
        </w:tc>
      </w:tr>
      <w:tr w14:paraId="0250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FC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D9D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铜仁市新型产融研究院</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31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A39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智慧铜仁·新质领航—铜仁高新区数字化智慧园区</w:t>
            </w:r>
          </w:p>
        </w:tc>
      </w:tr>
      <w:tr w14:paraId="245F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2DB9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成长企业组（29家）</w:t>
            </w:r>
          </w:p>
        </w:tc>
      </w:tr>
      <w:tr w14:paraId="2633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3F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883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贵州胜威化工新材料研究院有限公司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CE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新材料</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656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化纤专用二氧化钛的关键技术研发与示范</w:t>
            </w:r>
          </w:p>
        </w:tc>
      </w:tr>
      <w:tr w14:paraId="4CD6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70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962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江林（贵州）高科发展股份有限公司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6B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新材料</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347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农膜残留治理关键技术-功能化全生物降解地膜</w:t>
            </w:r>
          </w:p>
        </w:tc>
      </w:tr>
      <w:tr w14:paraId="349E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0BB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18F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贵州华科铝材料工程技术研究有限公司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E7E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新材料</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C84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HCP铝合金板精深加工技术集成与应用</w:t>
            </w:r>
          </w:p>
        </w:tc>
      </w:tr>
      <w:tr w14:paraId="18F1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8B5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393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麻江县明洋食品有限公司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F46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生物医药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B07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传承经典风味凯里红酸汤运营项目</w:t>
            </w:r>
          </w:p>
        </w:tc>
      </w:tr>
      <w:tr w14:paraId="149B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0C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807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毕节市农投菌业科技有限责任公司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FA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生物医药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81C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食用菌1+N工厂化生产技术及延伸产业</w:t>
            </w:r>
          </w:p>
        </w:tc>
      </w:tr>
      <w:tr w14:paraId="0E4F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F9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239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贵州省生物技术研究开发基地有限公司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78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生物医药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09B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释放发酵的艺术——特征微生物精准利用和受控发酵技术的应用</w:t>
            </w:r>
          </w:p>
        </w:tc>
      </w:tr>
      <w:tr w14:paraId="7586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46B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20A2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贵州益百亿生物科技有限公司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7E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生物医药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6BC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木霉菌生物菌剂的生产与推广</w:t>
            </w:r>
          </w:p>
        </w:tc>
      </w:tr>
      <w:tr w14:paraId="666D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B5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68D9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贵州聚原数技术开发有限公司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11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D6F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聚原科技——基于新一代AI的双目视觉智能制造领航者</w:t>
            </w:r>
          </w:p>
        </w:tc>
      </w:tr>
      <w:tr w14:paraId="19C6A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1D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4A9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贵州车联邦网络科技有限公司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B0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EE3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基于目视仿生算法的储能移动充电机器人</w:t>
            </w:r>
          </w:p>
        </w:tc>
      </w:tr>
      <w:tr w14:paraId="4A5D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96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470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贵州算家计算服务有限公司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CC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F42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算家云</w:t>
            </w:r>
          </w:p>
        </w:tc>
      </w:tr>
      <w:tr w14:paraId="5167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C5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DDF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贵州刺梨谷健康产业有限公司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5B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生物医药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4F9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首创性运用超分子技术形成的一款天然无毒副作用的降酸利器</w:t>
            </w:r>
          </w:p>
        </w:tc>
      </w:tr>
      <w:tr w14:paraId="5726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CC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584A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贵州卓豪食品有限公司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29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生物医药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5468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黔小妹——谱写北纬 27 °独特技艺下发酵型酱香辣的传奇篇章</w:t>
            </w:r>
          </w:p>
        </w:tc>
      </w:tr>
      <w:tr w14:paraId="6239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EE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D453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贵州智善农业科技有限责任公司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32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生物医药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CA2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山地智能水肥一体机</w:t>
            </w:r>
          </w:p>
        </w:tc>
      </w:tr>
      <w:tr w14:paraId="7672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89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C86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贵州北斗空间信息技术有限公司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6E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123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绿色能源工程项目空天地全周期一体化服务平台</w:t>
            </w:r>
          </w:p>
        </w:tc>
      </w:tr>
      <w:tr w14:paraId="01C5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03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46B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贵州阳光海纳生态农业有限公司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46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264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生活旅伴</w:t>
            </w:r>
          </w:p>
        </w:tc>
      </w:tr>
      <w:tr w14:paraId="30E7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6B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7E2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贵州众创仪云科技有限公司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FF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E35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众创仪云贵州省重大科研基础设施和大型科研仪器共享信息服务平台能力建设项目</w:t>
            </w:r>
          </w:p>
        </w:tc>
      </w:tr>
      <w:tr w14:paraId="7825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AD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A95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贵州鼎瑞环保科技有限公司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3CB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节能环保</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6F29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湿法磷酸生产线绿色无害化升级改造产业化</w:t>
            </w:r>
          </w:p>
        </w:tc>
      </w:tr>
      <w:tr w14:paraId="5A0F3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F3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236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贵州省化工研究院</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4B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节能环保</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255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中低品位磷矿及磷尾矿新型选矿创新技术</w:t>
            </w:r>
          </w:p>
        </w:tc>
      </w:tr>
      <w:tr w14:paraId="50E8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C6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A4D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贵州星硕铭越环保科技有限公司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16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节能环保</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B43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点渣成金——酿酒废渣高值产业化助推白酒新质生产力发展</w:t>
            </w:r>
          </w:p>
        </w:tc>
      </w:tr>
      <w:tr w14:paraId="0A6C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08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E72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贵州智慧电力科技有限公司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C1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新材料</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AE0D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电力装备制造及聚酰亚胺电池隔膜分切产线项目</w:t>
            </w:r>
          </w:p>
        </w:tc>
      </w:tr>
      <w:tr w14:paraId="16A9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E0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7E0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贵州蓝图新材料股份有限公司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ADC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高端装备制造</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963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磷石膏无害化及资源综合利用</w:t>
            </w:r>
          </w:p>
        </w:tc>
      </w:tr>
      <w:tr w14:paraId="0116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39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143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贵州省施秉县舞水云台旅游商品开发有限公司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07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高端装备制造</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DF9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锦绣黔呈-非遗苗绣技艺数字化保护与传承创新平台</w:t>
            </w:r>
          </w:p>
        </w:tc>
      </w:tr>
      <w:tr w14:paraId="75F0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D3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5AD8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贵州电网有限责任公司电力科学研究院</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06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EEA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支撑智慧用电的电力指纹关键技术与应用</w:t>
            </w:r>
          </w:p>
        </w:tc>
      </w:tr>
      <w:tr w14:paraId="02C6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7E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B3E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大象慧云信息技术有限公司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7D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A7A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企业税务数字化项目</w:t>
            </w:r>
          </w:p>
        </w:tc>
      </w:tr>
      <w:tr w14:paraId="7538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F2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7A5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贵州中汇科技发展有限公司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0C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986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文书智析辅助平台</w:t>
            </w:r>
          </w:p>
        </w:tc>
      </w:tr>
      <w:tr w14:paraId="437E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2A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35A0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安顺迅游网络科技有限公司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9C2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新一代信息技术</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165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“元宇宙”虚拟数字人</w:t>
            </w:r>
          </w:p>
        </w:tc>
      </w:tr>
      <w:tr w14:paraId="4766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DB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30A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贵州兴矿能科技有限公司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84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高端装备制造</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D75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引领煤矿智能化单轨吊科技先锋，实现行业安全高产高效降耗共赢</w:t>
            </w:r>
          </w:p>
        </w:tc>
      </w:tr>
      <w:tr w14:paraId="4129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46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DED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遵义拓特铸锻有限公司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819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高端装备制造</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7D1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大型真空泵核心零件铸造成型技术创新应用</w:t>
            </w:r>
          </w:p>
        </w:tc>
      </w:tr>
      <w:tr w14:paraId="5371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0F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1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1F3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贵州安芯数控技术有限公司</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46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高端装备制造</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5952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带自动测量与智能补偿的数控刃磨床</w:t>
            </w:r>
          </w:p>
        </w:tc>
      </w:tr>
    </w:tbl>
    <w:p w14:paraId="5EB3014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A860B7-CD55-450C-888C-953D6F990C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embedRegular r:id="rId2" w:fontKey="{8B61461E-C67B-4578-B210-E349C7ED78AD}"/>
  </w:font>
  <w:font w:name="仿宋_GB2312">
    <w:panose1 w:val="02010609030101010101"/>
    <w:charset w:val="86"/>
    <w:family w:val="auto"/>
    <w:pitch w:val="default"/>
    <w:sig w:usb0="00000001" w:usb1="080E0000" w:usb2="00000000" w:usb3="00000000" w:csb0="00040000" w:csb1="00000000"/>
    <w:embedRegular r:id="rId3" w:fontKey="{27980A92-85AF-43BB-BC77-C65DB94BA22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MTA1NjVmNjc1YTE4MzZjNWQzNmI3OTU4NTU2N2YifQ=="/>
  </w:docVars>
  <w:rsids>
    <w:rsidRoot w:val="0931583A"/>
    <w:rsid w:val="0931583A"/>
    <w:rsid w:val="279A7D26"/>
    <w:rsid w:val="2A4E14B6"/>
    <w:rsid w:val="33215999"/>
    <w:rsid w:val="4817312B"/>
    <w:rsid w:val="6470090E"/>
    <w:rsid w:val="6FFDDF7F"/>
    <w:rsid w:val="7263310B"/>
    <w:rsid w:val="FBDFC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1402</Words>
  <Characters>1435</Characters>
  <Lines>0</Lines>
  <Paragraphs>0</Paragraphs>
  <TotalTime>5</TotalTime>
  <ScaleCrop>false</ScaleCrop>
  <LinksUpToDate>false</LinksUpToDate>
  <CharactersWithSpaces>1438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2023-08-18T18:00:00Z</dcterms:created>
  <dc:creator>张金廉</dc:creator>
  <cp:lastModifiedBy>梁正华</cp:lastModifiedBy>
  <dcterms:modified xsi:type="dcterms:W3CDTF">2024-08-30T01:40:14Z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A8564FA35C844FE0AB247F22174E3D5B_13</vt:lpwstr>
  </property>
</Properties>
</file>