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0" w:firstLineChars="0"/>
        <w:jc w:val="both"/>
        <w:textAlignment w:val="baseline"/>
        <w:rPr>
          <w:rFonts w:hint="eastAsia" w:ascii="黑体" w:hAnsi="黑体" w:eastAsia="黑体" w:cs="黑体"/>
          <w:snapToGrid w:val="0"/>
          <w:color w:val="000000" w:themeColor="text1"/>
          <w:spacing w:val="-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spacing w:val="-1"/>
          <w:kern w:val="0"/>
          <w:sz w:val="32"/>
          <w:szCs w:val="32"/>
          <w:lang w:val="en-US" w:eastAsia="zh-CN" w:bidi="ar-SA"/>
          <w14:textFill>
            <w14:solidFill>
              <w14:schemeClr w14:val="tx1"/>
            </w14:solidFill>
          </w14:textFill>
        </w:rPr>
        <w:t>附件1</w:t>
      </w:r>
    </w:p>
    <w:p>
      <w:pPr>
        <w:pStyle w:val="3"/>
        <w:keepNext w:val="0"/>
        <w:keepLines w:val="0"/>
        <w:pageBreakBefore w:val="0"/>
        <w:kinsoku/>
        <w:wordWrap/>
        <w:overflowPunct/>
        <w:topLinePunct w:val="0"/>
        <w:bidi w:val="0"/>
        <w:spacing w:line="560" w:lineRule="exact"/>
        <w:jc w:val="both"/>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方正小标宋简体" w:hAnsi="方正小标宋简体" w:eastAsia="方正小标宋简体" w:cs="方正小标宋简体"/>
          <w:b w:val="0"/>
          <w:bCs w:val="0"/>
          <w:snapToGrid w:val="0"/>
          <w:color w:val="000000" w:themeColor="text1"/>
          <w:spacing w:val="-1"/>
          <w:kern w:val="0"/>
          <w:sz w:val="44"/>
          <w:szCs w:val="44"/>
          <w:lang w:val="en-US" w:eastAsia="en-US" w:bidi="ar-SA"/>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spacing w:val="-1"/>
          <w:kern w:val="0"/>
          <w:sz w:val="44"/>
          <w:szCs w:val="44"/>
          <w:lang w:val="en-US" w:eastAsia="en-US" w:bidi="ar-SA"/>
          <w14:textFill>
            <w14:solidFill>
              <w14:schemeClr w14:val="tx1"/>
            </w14:solidFill>
          </w14:textFill>
        </w:rPr>
        <w:t>第十</w:t>
      </w:r>
      <w:r>
        <w:rPr>
          <w:rFonts w:hint="eastAsia" w:ascii="方正小标宋简体" w:hAnsi="方正小标宋简体" w:eastAsia="方正小标宋简体" w:cs="方正小标宋简体"/>
          <w:b w:val="0"/>
          <w:bCs w:val="0"/>
          <w:snapToGrid w:val="0"/>
          <w:color w:val="000000" w:themeColor="text1"/>
          <w:spacing w:val="-1"/>
          <w:kern w:val="0"/>
          <w:sz w:val="44"/>
          <w:szCs w:val="44"/>
          <w:lang w:val="en-US" w:eastAsia="zh-CN" w:bidi="ar-SA"/>
          <w14:textFill>
            <w14:solidFill>
              <w14:schemeClr w14:val="tx1"/>
            </w14:solidFill>
          </w14:textFill>
        </w:rPr>
        <w:t>四</w:t>
      </w:r>
      <w:r>
        <w:rPr>
          <w:rFonts w:hint="eastAsia" w:ascii="方正小标宋简体" w:hAnsi="方正小标宋简体" w:eastAsia="方正小标宋简体" w:cs="方正小标宋简体"/>
          <w:b w:val="0"/>
          <w:bCs w:val="0"/>
          <w:snapToGrid w:val="0"/>
          <w:color w:val="000000" w:themeColor="text1"/>
          <w:spacing w:val="-1"/>
          <w:kern w:val="0"/>
          <w:sz w:val="44"/>
          <w:szCs w:val="44"/>
          <w:lang w:val="en-US" w:eastAsia="en-US" w:bidi="ar-SA"/>
          <w14:textFill>
            <w14:solidFill>
              <w14:schemeClr w14:val="tx1"/>
            </w14:solidFill>
          </w14:textFill>
        </w:rPr>
        <w:t>届中国创新创业大赛贵州赛区赛事活动方案</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1"/>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根据《工业和信息化部火炬高技术产业开发中心关于举办第十四届中国创新创业大赛的通知》（火炬〔2025〕16号）要求，省科技厅将继续牵头举办第十四届中国创新创业大赛贵州赛区赛事活动（以下简称“大赛”），为推动本次大赛顺利进行，特制定方案如下。</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仿宋_GB2312" w:cs="Times New Roman"/>
          <w:snapToGrid w:val="0"/>
          <w:color w:val="000000" w:themeColor="text1"/>
          <w:spacing w:val="-1"/>
          <w:kern w:val="0"/>
          <w:sz w:val="32"/>
          <w:szCs w:val="32"/>
          <w:lang w:val="en-US" w:eastAsia="en-US" w:bidi="ar-SA"/>
          <w14:textFill>
            <w14:solidFill>
              <w14:schemeClr w14:val="tx1"/>
            </w14:solidFill>
          </w14:textFill>
        </w:rPr>
      </w:pPr>
      <w:r>
        <w:rPr>
          <w:rFonts w:hint="default" w:ascii="Times New Roman" w:hAnsi="Times New Roman" w:eastAsia="黑体" w:cs="Times New Roman"/>
          <w:snapToGrid w:val="0"/>
          <w:color w:val="000000" w:themeColor="text1"/>
          <w:spacing w:val="-1"/>
          <w:kern w:val="0"/>
          <w:sz w:val="32"/>
          <w:szCs w:val="32"/>
          <w:lang w:val="en-US" w:eastAsia="en-US" w:bidi="ar-SA"/>
          <w14:textFill>
            <w14:solidFill>
              <w14:schemeClr w14:val="tx1"/>
            </w14:solidFill>
          </w14:textFill>
        </w:rPr>
        <w:t>一、大赛宗旨</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大赛遵循政府引导、公益支持、市场助力原则，围绕发展高科技、实现产业化、加快形成新质生产力，</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推动“四链”深度融合，</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搭建“政、产、学、研、用、金、服、</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城</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”多向对接交流平台，发现优质企业和团队，发掘源头创新与早期项目，促进科技成果转化，优化创新创业生态，服务</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我</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省产业高质量发展。</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仿宋_GB2312" w:cs="Times New Roman"/>
          <w:snapToGrid w:val="0"/>
          <w:color w:val="000000" w:themeColor="text1"/>
          <w:spacing w:val="-1"/>
          <w:kern w:val="0"/>
          <w:sz w:val="32"/>
          <w:szCs w:val="32"/>
          <w:lang w:val="en-US" w:eastAsia="en-US" w:bidi="ar-SA"/>
          <w14:textFill>
            <w14:solidFill>
              <w14:schemeClr w14:val="tx1"/>
            </w14:solidFill>
          </w14:textFill>
        </w:rPr>
      </w:pPr>
      <w:r>
        <w:rPr>
          <w:rFonts w:hint="default" w:ascii="Times New Roman" w:hAnsi="Times New Roman" w:eastAsia="黑体" w:cs="Times New Roman"/>
          <w:snapToGrid w:val="0"/>
          <w:color w:val="000000" w:themeColor="text1"/>
          <w:spacing w:val="-1"/>
          <w:kern w:val="0"/>
          <w:sz w:val="32"/>
          <w:szCs w:val="32"/>
          <w:lang w:val="en-US" w:eastAsia="en-US" w:bidi="ar-SA"/>
          <w14:textFill>
            <w14:solidFill>
              <w14:schemeClr w14:val="tx1"/>
            </w14:solidFill>
          </w14:textFill>
        </w:rPr>
        <w:t>二、大赛主题</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方正黑体_GBK" w:hAnsi="方正黑体_GBK" w:eastAsia="方正黑体_GBK" w:cs="方正黑体_GBK"/>
          <w:snapToGrid w:val="0"/>
          <w:color w:val="000000" w:themeColor="text1"/>
          <w:spacing w:val="-1"/>
          <w:kern w:val="0"/>
          <w:sz w:val="32"/>
          <w:szCs w:val="32"/>
          <w:lang w:val="en-US" w:eastAsia="en-US" w:bidi="ar-SA"/>
          <w14:textFill>
            <w14:solidFill>
              <w14:schemeClr w14:val="tx1"/>
            </w14:solidFill>
          </w14:textFill>
        </w:rPr>
      </w:pPr>
      <w:r>
        <w:rPr>
          <w:rFonts w:hint="eastAsia" w:ascii="方正黑体_GBK" w:hAnsi="方正黑体_GBK" w:eastAsia="方正黑体_GBK" w:cs="方正黑体_GBK"/>
          <w:snapToGrid/>
          <w:color w:val="000000" w:themeColor="text1"/>
          <w:kern w:val="2"/>
          <w:sz w:val="32"/>
          <w:szCs w:val="32"/>
          <w:lang w:val="en-US" w:eastAsia="en-US"/>
          <w14:textFill>
            <w14:solidFill>
              <w14:schemeClr w14:val="tx1"/>
            </w14:solidFill>
          </w14:textFill>
        </w:rPr>
        <w:t>因创而聚，向新同行</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黑体" w:cs="Times New Roman"/>
          <w:snapToGrid w:val="0"/>
          <w:color w:val="000000" w:themeColor="text1"/>
          <w:spacing w:val="-1"/>
          <w:kern w:val="0"/>
          <w:sz w:val="32"/>
          <w:szCs w:val="32"/>
          <w:lang w:val="en-US" w:eastAsia="en-US" w:bidi="ar-SA"/>
          <w14:textFill>
            <w14:solidFill>
              <w14:schemeClr w14:val="tx1"/>
            </w14:solidFill>
          </w14:textFill>
        </w:rPr>
      </w:pPr>
      <w:r>
        <w:rPr>
          <w:rFonts w:hint="default" w:ascii="Times New Roman" w:hAnsi="Times New Roman" w:eastAsia="黑体" w:cs="Times New Roman"/>
          <w:snapToGrid w:val="0"/>
          <w:color w:val="000000" w:themeColor="text1"/>
          <w:spacing w:val="-1"/>
          <w:kern w:val="0"/>
          <w:sz w:val="32"/>
          <w:szCs w:val="32"/>
          <w:lang w:val="en-US" w:eastAsia="en-US" w:bidi="ar-SA"/>
          <w14:textFill>
            <w14:solidFill>
              <w14:schemeClr w14:val="tx1"/>
            </w14:solidFill>
          </w14:textFill>
        </w:rPr>
        <w:t>三、组织机构</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仿宋_GB2312" w:cs="Times New Roman"/>
          <w:snapToGrid w:val="0"/>
          <w:color w:val="000000" w:themeColor="text1"/>
          <w:spacing w:val="-1"/>
          <w:kern w:val="0"/>
          <w:sz w:val="32"/>
          <w:szCs w:val="32"/>
          <w:lang w:val="en-US" w:eastAsia="en-US" w:bidi="ar-SA"/>
          <w14:textFill>
            <w14:solidFill>
              <w14:schemeClr w14:val="tx1"/>
            </w14:solidFill>
          </w14:textFill>
        </w:rPr>
      </w:pPr>
      <w:r>
        <w:rPr>
          <w:rFonts w:hint="default" w:ascii="Times New Roman" w:hAnsi="Times New Roman" w:eastAsia="楷体_GB2312" w:cs="Times New Roman"/>
          <w:snapToGrid w:val="0"/>
          <w:color w:val="000000" w:themeColor="text1"/>
          <w:spacing w:val="-1"/>
          <w:kern w:val="0"/>
          <w:sz w:val="32"/>
          <w:szCs w:val="32"/>
          <w:lang w:val="en-US" w:eastAsia="en-US" w:bidi="ar-SA"/>
          <w14:textFill>
            <w14:solidFill>
              <w14:schemeClr w14:val="tx1"/>
            </w14:solidFill>
          </w14:textFill>
        </w:rPr>
        <w:t>（一）主办单位</w:t>
      </w:r>
      <w:r>
        <w:rPr>
          <w:rFonts w:hint="default" w:ascii="Times New Roman" w:hAnsi="Times New Roman" w:eastAsia="仿宋_GB2312" w:cs="Times New Roman"/>
          <w:snapToGrid w:val="0"/>
          <w:color w:val="000000" w:themeColor="text1"/>
          <w:spacing w:val="-1"/>
          <w:kern w:val="0"/>
          <w:sz w:val="32"/>
          <w:szCs w:val="32"/>
          <w:lang w:val="en-US" w:eastAsia="en-US" w:bidi="ar-SA"/>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1"/>
          <w:kern w:val="0"/>
          <w:sz w:val="32"/>
          <w:szCs w:val="32"/>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贵州省科学技术厅</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楷体_GB2312" w:cs="Times New Roman"/>
          <w:snapToGrid w:val="0"/>
          <w:color w:val="000000" w:themeColor="text1"/>
          <w:spacing w:val="-1"/>
          <w:kern w:val="0"/>
          <w:sz w:val="32"/>
          <w:szCs w:val="32"/>
          <w:lang w:val="en-US" w:eastAsia="en-US" w:bidi="ar-SA"/>
          <w14:textFill>
            <w14:solidFill>
              <w14:schemeClr w14:val="tx1"/>
            </w14:solidFill>
          </w14:textFill>
        </w:rPr>
      </w:pPr>
      <w:r>
        <w:rPr>
          <w:rFonts w:hint="default" w:ascii="Times New Roman" w:hAnsi="Times New Roman" w:eastAsia="楷体_GB2312" w:cs="Times New Roman"/>
          <w:snapToGrid w:val="0"/>
          <w:color w:val="000000" w:themeColor="text1"/>
          <w:spacing w:val="-1"/>
          <w:kern w:val="0"/>
          <w:sz w:val="32"/>
          <w:szCs w:val="32"/>
          <w:lang w:val="en-US" w:eastAsia="en-US" w:bidi="ar-SA"/>
          <w14:textFill>
            <w14:solidFill>
              <w14:schemeClr w14:val="tx1"/>
            </w14:solidFill>
          </w14:textFill>
        </w:rPr>
        <w:t>（二）协办单位</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1"/>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各市（州）科技管理部门</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楷体_GB2312" w:cs="Times New Roman"/>
          <w:snapToGrid w:val="0"/>
          <w:color w:val="000000" w:themeColor="text1"/>
          <w:spacing w:val="-1"/>
          <w:kern w:val="0"/>
          <w:sz w:val="32"/>
          <w:szCs w:val="32"/>
          <w:lang w:val="en-US" w:eastAsia="en-US" w:bidi="ar-SA"/>
          <w14:textFill>
            <w14:solidFill>
              <w14:schemeClr w14:val="tx1"/>
            </w14:solidFill>
          </w14:textFill>
        </w:rPr>
      </w:pPr>
      <w:r>
        <w:rPr>
          <w:rFonts w:hint="default" w:ascii="Times New Roman" w:hAnsi="Times New Roman" w:eastAsia="楷体_GB2312" w:cs="Times New Roman"/>
          <w:snapToGrid w:val="0"/>
          <w:color w:val="000000" w:themeColor="text1"/>
          <w:spacing w:val="-1"/>
          <w:kern w:val="0"/>
          <w:sz w:val="32"/>
          <w:szCs w:val="32"/>
          <w:lang w:val="en-US" w:eastAsia="en-US" w:bidi="ar-SA"/>
          <w14:textFill>
            <w14:solidFill>
              <w14:schemeClr w14:val="tx1"/>
            </w14:solidFill>
          </w14:textFill>
        </w:rPr>
        <w:t>（</w:t>
      </w:r>
      <w:r>
        <w:rPr>
          <w:rFonts w:hint="default" w:ascii="Times New Roman" w:hAnsi="Times New Roman" w:eastAsia="楷体_GB2312" w:cs="Times New Roman"/>
          <w:snapToGrid w:val="0"/>
          <w:color w:val="000000" w:themeColor="text1"/>
          <w:spacing w:val="-1"/>
          <w:kern w:val="0"/>
          <w:sz w:val="32"/>
          <w:szCs w:val="32"/>
          <w:lang w:val="en-US" w:eastAsia="zh-CN" w:bidi="ar-SA"/>
          <w14:textFill>
            <w14:solidFill>
              <w14:schemeClr w14:val="tx1"/>
            </w14:solidFill>
          </w14:textFill>
        </w:rPr>
        <w:t>三</w:t>
      </w:r>
      <w:r>
        <w:rPr>
          <w:rFonts w:hint="default" w:ascii="Times New Roman" w:hAnsi="Times New Roman" w:eastAsia="楷体_GB2312" w:cs="Times New Roman"/>
          <w:snapToGrid w:val="0"/>
          <w:color w:val="000000" w:themeColor="text1"/>
          <w:spacing w:val="-1"/>
          <w:kern w:val="0"/>
          <w:sz w:val="32"/>
          <w:szCs w:val="32"/>
          <w:lang w:val="en-US" w:eastAsia="en-US" w:bidi="ar-SA"/>
          <w14:textFill>
            <w14:solidFill>
              <w14:schemeClr w14:val="tx1"/>
            </w14:solidFill>
          </w14:textFill>
        </w:rPr>
        <w:t>）专家指导委员会</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大赛将邀请省内外创投专家、创新创业领域知名专家等组成专家指导委员会。</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大赛鼓励有条件的市（州）科技管理部门、高新区、国家级科技企业孵化器、大学科技园等设立分赛</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场</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，各分赛</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场</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可设立相应的组织机构，分赛</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场</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赛事活动可与其他创新创业活动结合，共同营造创新创业的良好氛围。</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1"/>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专家指导委员会专家随赛事活动开展</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陆续邀请并公布。</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36" w:firstLineChars="200"/>
        <w:jc w:val="both"/>
        <w:textAlignment w:val="baseline"/>
        <w:rPr>
          <w:rFonts w:hint="default" w:ascii="Times New Roman" w:hAnsi="Times New Roman" w:eastAsia="仿宋_GB2312" w:cs="Times New Roman"/>
          <w:snapToGrid w:val="0"/>
          <w:color w:val="000000" w:themeColor="text1"/>
          <w:spacing w:val="-1"/>
          <w:kern w:val="0"/>
          <w:sz w:val="32"/>
          <w:szCs w:val="32"/>
          <w:lang w:val="en-US" w:eastAsia="en-US" w:bidi="ar-SA"/>
          <w14:textFill>
            <w14:solidFill>
              <w14:schemeClr w14:val="tx1"/>
            </w14:solidFill>
          </w14:textFill>
        </w:rPr>
      </w:pPr>
      <w:r>
        <w:rPr>
          <w:rFonts w:hint="default" w:ascii="Times New Roman" w:hAnsi="Times New Roman" w:eastAsia="黑体" w:cs="Times New Roman"/>
          <w:snapToGrid w:val="0"/>
          <w:color w:val="000000" w:themeColor="text1"/>
          <w:spacing w:val="-1"/>
          <w:kern w:val="0"/>
          <w:sz w:val="32"/>
          <w:szCs w:val="32"/>
          <w:lang w:val="en-US" w:eastAsia="en-US" w:bidi="ar-SA"/>
          <w14:textFill>
            <w14:solidFill>
              <w14:schemeClr w14:val="tx1"/>
            </w14:solidFill>
          </w14:textFill>
        </w:rPr>
        <w:t>四、参赛企业条件</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大赛聚焦新一代信息技术、高端装备制造、新材料、生物医药和新能源、新能源汽车、节能环保等七类行业方向进行，符合以下条件的企业可报名参赛：</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br w:type="textWrapping"/>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（一）企业在贵州省内注册，具有创新能力和高成长潜力</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拥有知识产权且无产权纠纷，主要从事高新技术产品研发、制造、服务等业务。</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（二）企业经营规范、社会信誉良好、无不良记录，且为非上市企业。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（三）企业2024年营业收入不超过2亿元人民币。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（四）大赛分为初创企业组和成长企业组，工商注册时间在2024年1月1日（含）之后的企业参加初创企业组比赛，其它企业参加成长企业组比赛。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（五）在往届大赛全国总决赛或全国行业总决赛中获得一、二、三名或一、二、三等奖的企业不参加本届全国赛。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对参赛企业在材料申报及比赛过程中出现的弄虚作假行为，一经发现立即取消比赛资格。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黑体" w:cs="Times New Roman"/>
          <w:snapToGrid/>
          <w:color w:val="000000" w:themeColor="text1"/>
          <w:kern w:val="2"/>
          <w:sz w:val="32"/>
          <w:szCs w:val="32"/>
          <w:lang w:val="en-US" w:eastAsia="en-US"/>
          <w14:textFill>
            <w14:solidFill>
              <w14:schemeClr w14:val="tx1"/>
            </w14:solidFill>
          </w14:textFill>
        </w:rPr>
        <w:t>五、</w:t>
      </w:r>
      <w:r>
        <w:rPr>
          <w:rFonts w:hint="default" w:ascii="Times New Roman" w:hAnsi="Times New Roman" w:eastAsia="黑体" w:cs="Times New Roman"/>
          <w:snapToGrid/>
          <w:color w:val="000000" w:themeColor="text1"/>
          <w:kern w:val="2"/>
          <w:sz w:val="32"/>
          <w:szCs w:val="32"/>
          <w:lang w:val="en-US" w:eastAsia="zh-CN"/>
          <w14:textFill>
            <w14:solidFill>
              <w14:schemeClr w14:val="tx1"/>
            </w14:solidFill>
          </w14:textFill>
        </w:rPr>
        <w:t>赛事</w:t>
      </w:r>
      <w:r>
        <w:rPr>
          <w:rFonts w:hint="default" w:ascii="Times New Roman" w:hAnsi="Times New Roman" w:eastAsia="黑体" w:cs="Times New Roman"/>
          <w:snapToGrid/>
          <w:color w:val="000000" w:themeColor="text1"/>
          <w:kern w:val="2"/>
          <w:sz w:val="32"/>
          <w:szCs w:val="32"/>
          <w:lang w:val="en-US" w:eastAsia="en-US"/>
          <w14:textFill>
            <w14:solidFill>
              <w14:schemeClr w14:val="tx1"/>
            </w14:solidFill>
          </w14:textFill>
        </w:rPr>
        <w:t>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楷体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楷体_GB2312" w:cs="Times New Roman"/>
          <w:snapToGrid/>
          <w:color w:val="000000" w:themeColor="text1"/>
          <w:kern w:val="2"/>
          <w:sz w:val="32"/>
          <w:szCs w:val="32"/>
          <w:lang w:val="en-US" w:eastAsia="zh-CN"/>
          <w14:textFill>
            <w14:solidFill>
              <w14:schemeClr w14:val="tx1"/>
            </w14:solidFill>
          </w14:textFill>
        </w:rPr>
        <w:t>（一）以赛代评版块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大赛分报名</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参赛</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资格确认、初赛、复赛、决赛、推荐晋级全国赛六个阶段进行。比赛规则严格按照国家大赛组委会评审要求和标准，邀请专业评委对参赛项目进行综合评分，各赛段成绩和晋级结果全程实时公开，接受公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1.</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报名参赛（6月</w:t>
      </w: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30</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日前）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拟参赛企业登录“中国创新创业大赛”官网（www.cxcyds.com）注册和报名，报名企业进行注册和身份认证后，提交完整报名材料，并对所填信息的准确性和真实性负责。大赛官网是报名参赛的唯一渠道，其他报名渠道均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报名截止时间：2025年6月</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30</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2.</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资格确认（</w:t>
      </w: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7</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月</w:t>
      </w: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2</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日—</w:t>
      </w: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3</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报名截止后，大赛组织方对已报名注册的企业进行形式审查和资格确认，确认通过的企业晋级初赛。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3.</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初赛（</w:t>
      </w: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7</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月</w:t>
      </w: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5</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日—</w:t>
      </w: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6</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（1）</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邀请专业评委对各晋级初赛企业开展网上初评，初评规则严格执行国家大赛组委会评审相关要求。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（2）</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根据网上初评专家意见并结合各行业报名比例，从报名参赛企业中择优晋级复赛，晋级复赛企业名单在省科技厅官网公布。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4.</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复赛（</w:t>
      </w: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7</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月</w:t>
      </w: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上</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（1）</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邀请行业专家、投资人对晋级复赛的企业进行复赛培训。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（2）</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晋级复赛的参赛企业，按组别分批次在各分赛场现场路演，大赛组织方邀请专业评委进行现场评审。评审严格执行国家大赛组委会评审标准，复赛优胜企业晋级贵州赛区决赛。复赛奖项设置由大赛执委会在复赛前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（3）</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晋级决赛的企业名单在省科技厅官网公布，并邀请省内主流媒体对复赛过程进行宣传报道。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default" w:ascii="Times New Roman" w:hAnsi="Times New Roman" w:eastAsia="仿宋_GB2312" w:cs="Times New Roman"/>
          <w:snapToGrid/>
          <w:color w:val="000000" w:themeColor="text1"/>
          <w:kern w:val="2"/>
          <w:sz w:val="32"/>
          <w:szCs w:val="32"/>
          <w:shd w:val="clear" w:color="auto" w:fill="auto"/>
          <w:lang w:val="en-US" w:eastAsia="en-US"/>
          <w14:textFill>
            <w14:solidFill>
              <w14:schemeClr w14:val="tx1"/>
            </w14:solidFill>
          </w14:textFill>
        </w:rPr>
      </w:pP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5.</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决赛（</w:t>
      </w: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7</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月中下旬）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（1）</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大赛组织方委托第三方机构对晋级决赛的企业进行尽职调查，调查内容主要包括企业报名资质、业务运营状况、财务状况及其他涉及尽职调查要求的相关内容。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（2）</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邀请行业专家、投资人对进入决赛的企业进行</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赛前</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培训，重点围绕项目展示能力、表达能力及应对能力等进行综合素质提升培训。赛前通过省内主流媒体宣传，营造创新创业氛围，提高社会关注度。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（3）</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决赛现场分展示、评委提问两个环节进行。邀请省内外行业专家、创投专家和企业家</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担任</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评委现场评审，严格按国家大赛组委会相关要求执行。决赛</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设</w:t>
      </w:r>
      <w:r>
        <w:rPr>
          <w:rFonts w:hint="default" w:ascii="Times New Roman" w:hAnsi="Times New Roman" w:eastAsia="仿宋_GB2312" w:cs="Times New Roman"/>
          <w:color w:val="000000" w:themeColor="text1"/>
          <w:sz w:val="32"/>
          <w:szCs w:val="32"/>
          <w14:textFill>
            <w14:solidFill>
              <w14:schemeClr w14:val="tx1"/>
            </w14:solidFill>
          </w14:textFill>
        </w:rPr>
        <w:t>成长企业组一等奖1名、二等奖2名、三等奖3名，初创企业组一、二、三等奖各1名。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（4）</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决赛结果在省科技厅官网公布，并邀请省内主流媒体对赛事进行全程宣传报道。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6.</w:t>
      </w:r>
      <w:r>
        <w:rPr>
          <w:rFonts w:hint="default" w:ascii="Times New Roman" w:hAnsi="Times New Roman" w:eastAsia="仿宋_GB2312" w:cs="Times New Roman"/>
          <w:b/>
          <w:bCs/>
          <w:snapToGrid/>
          <w:color w:val="000000" w:themeColor="text1"/>
          <w:kern w:val="2"/>
          <w:sz w:val="32"/>
          <w:szCs w:val="32"/>
          <w:lang w:val="en-US" w:eastAsia="en-US"/>
          <w14:textFill>
            <w14:solidFill>
              <w14:schemeClr w14:val="tx1"/>
            </w14:solidFill>
          </w14:textFill>
        </w:rPr>
        <w:t>推荐晋级全国赛（8月15日前）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（1）</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全国赛由</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第十四届中国创新创业</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大赛</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组委会</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办公室负责组织。我省根据</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第十四届中国创新创业</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大赛</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组委会</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办公室下发的晋级名额，结合贵州赛区决赛排名及尽调结果择优推荐晋级全国赛。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（2）</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在省科技厅官网公布贵州赛区入围全国赛推荐企业名单，同时</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为</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入围全国赛</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的</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推荐企业提供后续支持</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及</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pPr>
      <w:r>
        <w:rPr>
          <w:rFonts w:hint="default" w:ascii="Times New Roman" w:hAnsi="Times New Roman" w:eastAsia="楷体_GB2312" w:cs="Times New Roman"/>
          <w:b w:val="0"/>
          <w:bCs w:val="0"/>
          <w:snapToGrid/>
          <w:color w:val="000000" w:themeColor="text1"/>
          <w:kern w:val="2"/>
          <w:sz w:val="32"/>
          <w:szCs w:val="32"/>
          <w:lang w:val="en-US" w:eastAsia="zh-CN"/>
          <w14:textFill>
            <w14:solidFill>
              <w14:schemeClr w14:val="tx1"/>
            </w14:solidFill>
          </w14:textFill>
        </w:rPr>
        <w:t>（二）科技创新挑战版块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1.需求征集与挖掘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省科技厅牵头，联动市（州）科技管理部门，组织贵州技术交易市场专区，组建科技专员/副职、技术专家、技术经理人的复合型技术转移服务队伍，面向初创企业、成长企业，宣</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传</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大赛及科技创新挑战相关政策，鼓励企业积极参与，征集、挖掘、梳理企业参加大赛的项目相关技术需求及其他技术需求。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2.需求评估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组织专家团队根据技术需求的市场价值、技术与资源可行性等进行评估分析，筛选有效需求并形成科技创新挑战三级需求榜单，</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一级为卡脖子技术需求榜单、二级为工艺升级需求榜单、三级为产品迭代需求榜单</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；推行</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需求-投入</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双绑定，企业在申请参加科技创新挑战时，需同步提交《科技创新挑战项目专项资金承诺书》，确保投入真实性。</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snapToGrid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kern w:val="2"/>
          <w:sz w:val="32"/>
          <w:szCs w:val="32"/>
          <w:lang w:val="en-US" w:eastAsia="zh-CN" w:bidi="ar-SA"/>
          <w14:textFill>
            <w14:solidFill>
              <w14:schemeClr w14:val="tx1"/>
            </w14:solidFill>
          </w14:textFill>
        </w:rPr>
        <w:t>3.需求发布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线上：通过“贵州科技”“贵州省技术转移中心”等微信公众号及其他相关媒体平台向社会公开发布和推送科技创新挑战需求榜单。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线下：结合大赛初赛、复赛、决赛等活动举办，同步发布和推送科技创新挑战需求榜单。</w:t>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snapToGrid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kern w:val="2"/>
          <w:sz w:val="32"/>
          <w:szCs w:val="32"/>
          <w:lang w:val="en-US" w:eastAsia="zh-CN" w:bidi="ar-SA"/>
          <w14:textFill>
            <w14:solidFill>
              <w14:schemeClr w14:val="tx1"/>
            </w14:solidFill>
          </w14:textFill>
        </w:rPr>
        <w:t>4.供需对接与转化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000000" w:themeColor="text1"/>
          <w:lang w:val="en-US" w:eastAsia="en-US"/>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省科技厅牵头，联动市（州）科技管理部门，组织贵州技术交易市场专区，定向匹配高校院所、科研团队等技术成果供给方；组建技术经理人团队开展“需求方-挑战方”双向撮合，提供政策咨询及商务谈判支持等服务；经充分对接，仍因激烈竞争使需求方难以自主选择最佳解决方案的，可通过组织竞争对接会，需求方综合考虑解决方案的技术性、匹配度以及合作前景等因素，选择确定合作方；建立履约动态跟踪机制，贵州技术交易市场对签约项目提供投融资对接、知识产权服务等后续支持，确保“发榜-对接-签约-转化”闭环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pPr>
      <w:r>
        <w:rPr>
          <w:rFonts w:hint="eastAsia" w:ascii="Times New Roman" w:hAnsi="Times New Roman" w:eastAsia="黑体" w:cs="Times New Roman"/>
          <w:snapToGrid/>
          <w:color w:val="000000" w:themeColor="text1"/>
          <w:kern w:val="2"/>
          <w:sz w:val="32"/>
          <w:szCs w:val="32"/>
          <w:lang w:val="en-US" w:eastAsia="zh-CN"/>
          <w14:textFill>
            <w14:solidFill>
              <w14:schemeClr w14:val="tx1"/>
            </w14:solidFill>
          </w14:textFill>
        </w:rPr>
        <w:t>六</w:t>
      </w:r>
      <w:r>
        <w:rPr>
          <w:rFonts w:hint="default" w:ascii="Times New Roman" w:hAnsi="Times New Roman" w:eastAsia="黑体"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黑体" w:cs="Times New Roman"/>
          <w:snapToGrid/>
          <w:color w:val="000000" w:themeColor="text1"/>
          <w:kern w:val="2"/>
          <w:sz w:val="32"/>
          <w:szCs w:val="32"/>
          <w:lang w:val="en-US" w:eastAsia="en-US"/>
          <w14:textFill>
            <w14:solidFill>
              <w14:schemeClr w14:val="tx1"/>
            </w14:solidFill>
          </w14:textFill>
        </w:rPr>
        <w:t>支持政策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楷体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楷体_GB2312" w:cs="Times New Roman"/>
          <w:snapToGrid/>
          <w:color w:val="000000" w:themeColor="text1"/>
          <w:kern w:val="2"/>
          <w:sz w:val="32"/>
          <w:szCs w:val="32"/>
          <w:lang w:val="en-US" w:eastAsia="en-US"/>
          <w14:textFill>
            <w14:solidFill>
              <w14:schemeClr w14:val="tx1"/>
            </w14:solidFill>
          </w14:textFill>
        </w:rPr>
        <w:t>（一）全国赛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1.</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通过中国创新创业大赛官网、大赛合作媒体渠道</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大赛附属活动，对大赛优胜企业、团队和项目进行宣传展示</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2.</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向国家中小企业发展基金、国家制造业转型升级基金、基础设施领域不动产投资信托基金等国家级基金及招商局集团下属投资平台机构等其他常态化创业投资基金推荐大赛优胜企业。通过国家产融合作平台为企业在优惠信贷、发行债券、上市融资等方面提供便利条件，大赛合作银行择优给予参赛企业贷款授信支持和利息优惠</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3.</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通过组织“火炬高新优企”座谈培训等系列活动</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为优秀参赛企业提供组织管理、人才管理、产品质量提升、安全风险防范等专业咨询和培训，以及专项政策对接、大中小企业融通对接合作、新技术场景应用等增值服务。联合相关高校为参赛企业举办创新创业优秀人才招聘，推荐参赛企业参加国家高新区科研助理岗招聘活动</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4.</w:t>
      </w:r>
      <w:r>
        <w:rPr>
          <w:rFonts w:hint="default" w:ascii="Times New Roman" w:hAnsi="Times New Roman" w:eastAsia="仿宋_GB2312" w:cs="Times New Roman"/>
          <w:snapToGrid/>
          <w:color w:val="000000" w:themeColor="text1"/>
          <w:kern w:val="2"/>
          <w:sz w:val="32"/>
          <w:szCs w:val="32"/>
          <w:lang w:val="en-US" w:eastAsia="en-US"/>
          <w14:textFill>
            <w14:solidFill>
              <w14:schemeClr w14:val="tx1"/>
            </w14:solidFill>
          </w14:textFill>
        </w:rPr>
        <w:t>鼓励符合条件的参赛企业申报或参评科技和创新型中小企业、高新技术企业、瞪羚企业、独角兽企业、专精特新中小企业、专精特新“小巨人”企业、制造业单项冠军企业等。择优向国家颠覆性技术创新重点专项、工业和信息化部相关领域典型案例征集、全国独角兽企业大赛等推荐</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楷体_GB2312" w:cs="Times New Roman"/>
          <w:snapToGrid/>
          <w:color w:val="000000" w:themeColor="text1"/>
          <w:kern w:val="2"/>
          <w:sz w:val="32"/>
          <w:szCs w:val="32"/>
          <w:lang w:val="en-US" w:eastAsia="en-US"/>
          <w14:textFill>
            <w14:solidFill>
              <w14:schemeClr w14:val="tx1"/>
            </w14:solidFill>
          </w14:textFill>
        </w:rPr>
      </w:pPr>
      <w:r>
        <w:rPr>
          <w:rFonts w:hint="default" w:ascii="Times New Roman" w:hAnsi="Times New Roman" w:eastAsia="楷体_GB2312" w:cs="Times New Roman"/>
          <w:snapToGrid/>
          <w:color w:val="000000" w:themeColor="text1"/>
          <w:kern w:val="2"/>
          <w:sz w:val="32"/>
          <w:szCs w:val="32"/>
          <w:lang w:val="en-US" w:eastAsia="en-US"/>
          <w14:textFill>
            <w14:solidFill>
              <w14:schemeClr w14:val="tx1"/>
            </w14:solidFill>
          </w14:textFill>
        </w:rPr>
        <w:t>（二）贵州赛区赛事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eastAsia" w:ascii="楷体_GB2312" w:hAnsi="楷体_GB2312" w:eastAsia="楷体_GB2312" w:cs="楷体_GB2312"/>
          <w:snapToGrid/>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snapToGrid/>
          <w:color w:val="000000" w:themeColor="text1"/>
          <w:kern w:val="2"/>
          <w:sz w:val="32"/>
          <w:szCs w:val="32"/>
          <w:lang w:val="en-US" w:eastAsia="zh-CN"/>
          <w14:textFill>
            <w14:solidFill>
              <w14:schemeClr w14:val="tx1"/>
            </w14:solidFill>
          </w14:textFill>
        </w:rPr>
        <w:t>1.以赛代评版块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eastAsia" w:ascii="Times New Roman" w:hAnsi="Times New Roman" w:eastAsia="仿宋_GB2312" w:cs="仿宋_GB2312"/>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一是</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对获得贵州赛区决赛一、二、三等奖的参赛项目，按省级科技成果转化计划一般项目予以支持，其中，初创企业组一、二、三等奖分别给予30万元、20万元、10万元项目经费支持；成长企业组一、二、三等奖分别给予60万元、40万元、20万元项目经费支持；</w:t>
      </w:r>
      <w:r>
        <w:rPr>
          <w:rFonts w:hint="default" w:ascii="Times New Roman" w:hAnsi="Times New Roman" w:eastAsia="仿宋_GB2312" w:cs="Times New Roman"/>
          <w:b/>
          <w:bCs/>
          <w:snapToGrid/>
          <w:color w:val="000000" w:themeColor="text1"/>
          <w:kern w:val="2"/>
          <w:sz w:val="32"/>
          <w:szCs w:val="32"/>
          <w:lang w:val="en-US" w:eastAsia="zh-CN"/>
          <w14:textFill>
            <w14:solidFill>
              <w14:schemeClr w14:val="tx1"/>
            </w14:solidFill>
          </w14:textFill>
        </w:rPr>
        <w:t>二是</w:t>
      </w:r>
      <w:r>
        <w:rPr>
          <w:rFonts w:hint="eastAsia" w:ascii="Times New Roman" w:hAnsi="Times New Roman" w:eastAsia="仿宋_GB2312" w:cs="仿宋_GB2312"/>
          <w:snapToGrid/>
          <w:color w:val="000000" w:themeColor="text1"/>
          <w:kern w:val="2"/>
          <w:sz w:val="32"/>
          <w:szCs w:val="32"/>
          <w:lang w:val="en-US" w:eastAsia="zh-CN"/>
          <w14:textFill>
            <w14:solidFill>
              <w14:schemeClr w14:val="tx1"/>
            </w14:solidFill>
          </w14:textFill>
        </w:rPr>
        <w:t>对入围贵州赛区决赛的企业，符合研发投入相关政策基本条件的，优先给予支持。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default" w:ascii="仿宋_GB2312" w:hAnsi="仿宋_GB2312" w:eastAsia="仿宋_GB2312" w:cs="仿宋_GB2312"/>
          <w:b/>
          <w:bCs/>
          <w:snapToGrid/>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bCs/>
          <w:snapToGrid/>
          <w:color w:val="000000" w:themeColor="text1"/>
          <w:kern w:val="2"/>
          <w:sz w:val="32"/>
          <w:szCs w:val="32"/>
          <w:lang w:val="en-US" w:eastAsia="zh-CN"/>
          <w14:textFill>
            <w14:solidFill>
              <w14:schemeClr w14:val="tx1"/>
            </w14:solidFill>
          </w14:textFill>
        </w:rPr>
        <w:t>2.科技创新挑战</w:t>
      </w:r>
      <w:r>
        <w:rPr>
          <w:rFonts w:hint="eastAsia" w:ascii="仿宋_GB2312" w:hAnsi="仿宋_GB2312" w:eastAsia="仿宋_GB2312" w:cs="仿宋_GB2312"/>
          <w:b/>
          <w:bCs/>
          <w:snapToGrid/>
          <w:color w:val="000000" w:themeColor="text1"/>
          <w:kern w:val="2"/>
          <w:sz w:val="32"/>
          <w:szCs w:val="32"/>
          <w:lang w:val="en-US" w:eastAsia="zh-CN"/>
          <w14:textFill>
            <w14:solidFill>
              <w14:schemeClr w14:val="tx1"/>
            </w14:solidFill>
          </w14:textFill>
        </w:rPr>
        <w:t>版块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本届大赛设置科技创新挑战</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（以下简称“挑战”）</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，参赛企业在参与大赛的同时，可自主申请参加挑战。参加挑战并成功对接的供需双方，在报名参赛之日起1年内签订技术合同并完成技术合同认定登记</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形成产学研合作项目的，按照政策叠加机制，在享受大赛参赛项目支持政策的基础上，企业可组合享受以下政策支持。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（1）政策支持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可获得</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最高50万元科技创新券或优先纳入省级科技计划项目支持。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bookmarkStart w:id="0" w:name="_GoBack"/>
      <w:bookmarkEnd w:id="0"/>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（2）金融支持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建立“榜单-基金”直通机制，入围贵州赛区决赛的企业，其参加大赛和</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挑战</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的项目优先推送至“黔羚基金”“科创天使基金”等基金项目库。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（3）人才支持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入围贵州赛区决赛的企业，给予1名初、中级技术经理人免费培训资格。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14:textFill>
            <w14:solidFill>
              <w14:schemeClr w14:val="tx1"/>
            </w14:solidFill>
          </w14:textFill>
        </w:rPr>
        <w:t>（4）平台支持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lang w:val="en-US" w:eastAsia="en-US"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贵州技术交易市场为参加挑战的项目全程提供供需对接、交易磋商、技术评估评价等科技成果转化促进服务；入围贵州赛区决赛的企业，可将参加大赛和挑战的项目，落地贵州科学城国家级科技企业孵化器，优先享受孵化资金支持。</w:t>
      </w:r>
    </w:p>
    <w:sectPr>
      <w:footerReference r:id="rId5" w:type="default"/>
      <w:pgSz w:w="11906" w:h="16839"/>
      <w:pgMar w:top="1431" w:right="1473" w:bottom="1429" w:left="1479" w:header="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500138"/>
    <w:rsid w:val="00E33590"/>
    <w:rsid w:val="012D0479"/>
    <w:rsid w:val="022429FE"/>
    <w:rsid w:val="04B44B8E"/>
    <w:rsid w:val="0AB47515"/>
    <w:rsid w:val="0BBE689D"/>
    <w:rsid w:val="0D004C93"/>
    <w:rsid w:val="10FE06CA"/>
    <w:rsid w:val="13E512E7"/>
    <w:rsid w:val="15681628"/>
    <w:rsid w:val="1675224E"/>
    <w:rsid w:val="17600C81"/>
    <w:rsid w:val="18B057C0"/>
    <w:rsid w:val="190D49C0"/>
    <w:rsid w:val="19EF156E"/>
    <w:rsid w:val="1A877CC8"/>
    <w:rsid w:val="1B283D33"/>
    <w:rsid w:val="20082DF7"/>
    <w:rsid w:val="248024EA"/>
    <w:rsid w:val="258B7E18"/>
    <w:rsid w:val="2A7E571E"/>
    <w:rsid w:val="2AC86999"/>
    <w:rsid w:val="2BC66973"/>
    <w:rsid w:val="2C8F66B8"/>
    <w:rsid w:val="2EE76037"/>
    <w:rsid w:val="304940D8"/>
    <w:rsid w:val="328E671A"/>
    <w:rsid w:val="33765A44"/>
    <w:rsid w:val="3455563B"/>
    <w:rsid w:val="368B78F1"/>
    <w:rsid w:val="37DD15AA"/>
    <w:rsid w:val="38E55D2E"/>
    <w:rsid w:val="397F0F88"/>
    <w:rsid w:val="39A9283F"/>
    <w:rsid w:val="3A145757"/>
    <w:rsid w:val="3ABE5587"/>
    <w:rsid w:val="3B2B1978"/>
    <w:rsid w:val="3D8726E3"/>
    <w:rsid w:val="3DE37141"/>
    <w:rsid w:val="3E6D9CA1"/>
    <w:rsid w:val="3FB05F21"/>
    <w:rsid w:val="3FCE62C2"/>
    <w:rsid w:val="40E92715"/>
    <w:rsid w:val="4137558E"/>
    <w:rsid w:val="41731ECB"/>
    <w:rsid w:val="41AA074E"/>
    <w:rsid w:val="46A460B4"/>
    <w:rsid w:val="49065351"/>
    <w:rsid w:val="4939265B"/>
    <w:rsid w:val="4B4D48CE"/>
    <w:rsid w:val="4B55660E"/>
    <w:rsid w:val="4C0C4313"/>
    <w:rsid w:val="4DA22C22"/>
    <w:rsid w:val="4F3766B8"/>
    <w:rsid w:val="5087238B"/>
    <w:rsid w:val="528C39B4"/>
    <w:rsid w:val="56AB73B5"/>
    <w:rsid w:val="58350AC5"/>
    <w:rsid w:val="5CC964CF"/>
    <w:rsid w:val="5D42587D"/>
    <w:rsid w:val="5FF87418"/>
    <w:rsid w:val="65766A16"/>
    <w:rsid w:val="65BC57F8"/>
    <w:rsid w:val="6A1909A5"/>
    <w:rsid w:val="6A6600BF"/>
    <w:rsid w:val="6B453112"/>
    <w:rsid w:val="6BA626F4"/>
    <w:rsid w:val="6C55313C"/>
    <w:rsid w:val="6DA73C10"/>
    <w:rsid w:val="6DD95D94"/>
    <w:rsid w:val="6EDFD73F"/>
    <w:rsid w:val="6FDF324F"/>
    <w:rsid w:val="703D260A"/>
    <w:rsid w:val="717B788E"/>
    <w:rsid w:val="71E82A49"/>
    <w:rsid w:val="72402885"/>
    <w:rsid w:val="76DA5057"/>
    <w:rsid w:val="785B0E59"/>
    <w:rsid w:val="79DD144C"/>
    <w:rsid w:val="79DE7ADE"/>
    <w:rsid w:val="7B3D04F0"/>
    <w:rsid w:val="7B7FD515"/>
    <w:rsid w:val="7C410469"/>
    <w:rsid w:val="7DFFBCE4"/>
    <w:rsid w:val="9FB61172"/>
    <w:rsid w:val="F4FF483A"/>
    <w:rsid w:val="F6F13CC0"/>
    <w:rsid w:val="FBCFBBC9"/>
    <w:rsid w:val="FBD2D480"/>
    <w:rsid w:val="FDF90263"/>
    <w:rsid w:val="FDFDA3C3"/>
    <w:rsid w:val="FE3D427C"/>
    <w:rsid w:val="FFBAC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qFormat/>
    <w:uiPriority w:val="0"/>
    <w:pPr>
      <w:ind w:firstLine="200" w:firstLineChars="200"/>
      <w:jc w:val="both"/>
      <w:textAlignment w:val="baseline"/>
    </w:pPr>
    <w:rPr>
      <w:rFonts w:ascii="Times New Roman" w:hAnsi="Times New Roman" w:eastAsia="宋体"/>
      <w:color w:val="000000"/>
      <w:kern w:val="2"/>
      <w:sz w:val="21"/>
      <w:szCs w:val="22"/>
      <w:lang w:val="en-US" w:eastAsia="zh-CN" w:bidi="ar-SA"/>
    </w:rPr>
  </w:style>
  <w:style w:type="paragraph" w:styleId="3">
    <w:name w:val="Body Text"/>
    <w:basedOn w:val="1"/>
    <w:qFormat/>
    <w:uiPriority w:val="0"/>
    <w:rPr>
      <w:rFonts w:ascii="FangSong_GB2312" w:hAnsi="FangSong_GB2312" w:eastAsia="FangSong_GB2312" w:cs="FangSong_GB2312"/>
      <w:sz w:val="31"/>
      <w:szCs w:val="31"/>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3603</Words>
  <Characters>3659</Characters>
  <TotalTime>1</TotalTime>
  <ScaleCrop>false</ScaleCrop>
  <LinksUpToDate>false</LinksUpToDate>
  <CharactersWithSpaces>3667</CharactersWithSpaces>
  <Application>WPS Office_11.8.2.12275_F1E327BC-269C-435d-A152-05C5408002CA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2024-06-28T03:00:00Z</dcterms:created>
  <dc:creator>ysgz</dc:creator>
  <cp:lastModifiedBy>ysgz</cp:lastModifiedBy>
  <dcterms:modified xsi:type="dcterms:W3CDTF">2025-06-11T14:50:19Z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2025-05-28T14:31:34Z</vt:filetime>
  </property>
  <property fmtid="{D5CDD505-2E9C-101B-9397-08002B2CF9AE}" pid="4" name="KSOTemplateDocerSaveRecord">
    <vt:lpwstr>eyJoZGlkIjoiMDcyNjljOTA3YTZkMDJmYjJkZDEyMThlYjZmOTZhMmQiLCJ1c2VySWQiOiI0MjQ4NjI3NTEifQ==</vt:lpwstr>
  </property>
  <property fmtid="{D5CDD505-2E9C-101B-9397-08002B2CF9AE}" pid="5" name="KSOProductBuildVer">
    <vt:lpwstr>2052-11.8.2.12275</vt:lpwstr>
  </property>
  <property fmtid="{D5CDD505-2E9C-101B-9397-08002B2CF9AE}" pid="6" name="ICV">
    <vt:lpwstr>BAD2036558A24ED898A69EC7B4720D75_13</vt:lpwstr>
  </property>
</Properties>
</file>