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D904EFE">
      <w:pPr>
        <w:pStyle w:val="style0"/>
        <w:keepNext w:val="false"/>
        <w:keepLines w:val="false"/>
        <w:pageBreakBefore w:val="false"/>
        <w:widowControl w:val="false"/>
        <w:tabs>
          <w:tab w:val="left" w:leader="none" w:pos="705"/>
          <w:tab w:val="center" w:leader="none" w:pos="4451"/>
        </w:tabs>
        <w:kinsoku/>
        <w:overflowPunct/>
        <w:topLinePunct w:val="false"/>
        <w:bidi w:val="false"/>
        <w:snapToGrid/>
        <w:spacing w:lineRule="exact" w:line="580"/>
        <w:jc w:val="center"/>
        <w:contextualSpacing/>
        <w:rPr>
          <w:rFonts w:ascii="Times New Roman" w:cs="Times New Roman" w:eastAsia="方正小标宋简体" w:hAnsi="Times New Roman" w:hint="default"/>
          <w:color w:val="auto"/>
          <w:sz w:val="44"/>
          <w:szCs w:val="44"/>
        </w:rPr>
      </w:pPr>
    </w:p>
    <w:p w14:paraId="B95D240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both"/>
        <w:rPr>
          <w:rFonts w:ascii="Times New Roman" w:cs="Times New Roman" w:eastAsia="CESI黑体-GB2312" w:hAnsi="Times New Roman" w:hint="default"/>
          <w:color w:val="auto"/>
          <w:kern w:val="0"/>
          <w:sz w:val="44"/>
          <w:szCs w:val="44"/>
          <w:lang w:val="zh-CN"/>
        </w:rPr>
      </w:pPr>
      <w:r>
        <w:rPr>
          <w:rFonts w:ascii="Times New Roman" w:cs="Times New Roman" w:eastAsia="CESI黑体-GB2312" w:hAnsi="Times New Roman" w:hint="default"/>
          <w:color w:val="auto"/>
          <w:kern w:val="0"/>
          <w:lang w:val="zh-CN"/>
        </w:rPr>
        <w:t>附件</w:t>
      </w:r>
    </w:p>
    <w:p w14:paraId="5F85A5C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both"/>
        <w:rPr>
          <w:rFonts w:ascii="Times New Roman" w:cs="Times New Roman" w:eastAsia="方正小标宋简体" w:hAnsi="Times New Roman" w:hint="default"/>
          <w:color w:val="auto"/>
          <w:kern w:val="0"/>
          <w:sz w:val="44"/>
          <w:szCs w:val="44"/>
          <w:lang w:val="zh-CN"/>
        </w:rPr>
      </w:pPr>
    </w:p>
    <w:p w14:paraId="D36CDAE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center"/>
        <w:rPr>
          <w:rFonts w:ascii="Times New Roman" w:cs="Times New Roman" w:eastAsia="方正小标宋简体" w:hAnsi="Times New Roman" w:hint="default"/>
          <w:color w:val="auto"/>
          <w:kern w:val="0"/>
          <w:sz w:val="44"/>
          <w:szCs w:val="44"/>
          <w:lang w:val="zh-CN"/>
        </w:rPr>
      </w:pPr>
      <w:r>
        <w:rPr>
          <w:rFonts w:ascii="Times New Roman" w:cs="Times New Roman" w:eastAsia="方正小标宋简体" w:hAnsi="Times New Roman" w:hint="default"/>
          <w:color w:val="auto"/>
          <w:kern w:val="0"/>
          <w:sz w:val="44"/>
          <w:szCs w:val="44"/>
          <w:lang w:val="zh-CN"/>
        </w:rPr>
        <w:t>2026年度农业、社发领域省科技支撑计划（一般项目）申报指南</w:t>
      </w:r>
    </w:p>
    <w:p w14:paraId="7DDEB2E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jc w:val="both"/>
        <w:rPr>
          <w:rFonts w:ascii="Times New Roman" w:cs="Times New Roman" w:hAnsi="Times New Roman" w:hint="default"/>
          <w:color w:val="auto"/>
        </w:rPr>
      </w:pPr>
    </w:p>
    <w:p w14:paraId="04E389BF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bidi w:val="false"/>
        <w:snapToGrid/>
        <w:spacing w:lineRule="exact" w:line="580"/>
        <w:ind w:firstLine="640" w:firstLineChars="200"/>
        <w:jc w:val="both"/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</w:rPr>
        <w:t>本年度</w:t>
      </w:r>
      <w:r>
        <w:rPr>
          <w:rFonts w:ascii="Times New Roman" w:cs="Times New Roman" w:eastAsia="仿宋_GB2312" w:hAnsi="Times New Roman" w:hint="default"/>
          <w:color w:val="auto"/>
          <w:szCs w:val="32"/>
          <w:lang w:val="zh-CN"/>
        </w:rPr>
        <w:t>省科技支撑计划项目申报指南</w:t>
      </w:r>
      <w:r>
        <w:rPr>
          <w:rFonts w:ascii="Times New Roman" w:cs="Times New Roman" w:eastAsia="仿宋_GB2312" w:hAnsi="Times New Roman" w:hint="default"/>
          <w:color w:val="auto"/>
          <w:szCs w:val="32"/>
        </w:rPr>
        <w:t>支持方向包含省委省政府指令性任务、各产业专班明确的重点技术需求以及征集</w:t>
      </w:r>
      <w:r>
        <w:rPr>
          <w:rFonts w:ascii="Times New Roman" w:cs="Times New Roman" w:eastAsia="仿宋_GB2312" w:hAnsi="Times New Roman" w:hint="eastAsia"/>
          <w:color w:val="auto"/>
          <w:szCs w:val="32"/>
          <w:lang w:eastAsia="zh-CN"/>
        </w:rPr>
        <w:t>到</w:t>
      </w:r>
      <w:r>
        <w:rPr>
          <w:rFonts w:ascii="Times New Roman" w:cs="Times New Roman" w:eastAsia="仿宋_GB2312" w:hAnsi="Times New Roman" w:hint="default"/>
          <w:color w:val="auto"/>
          <w:szCs w:val="32"/>
        </w:rPr>
        <w:t>的技术需求</w:t>
      </w:r>
      <w:r>
        <w:rPr>
          <w:rFonts w:ascii="Times New Roman" w:cs="Times New Roman" w:eastAsia="仿宋_GB2312" w:hAnsi="Times New Roman" w:hint="eastAsia"/>
          <w:color w:val="auto"/>
          <w:szCs w:val="32"/>
          <w:lang w:eastAsia="zh-CN"/>
        </w:rPr>
        <w:t>等</w:t>
      </w: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。标注“◆”的方向属产业关键技术类。</w:t>
      </w:r>
    </w:p>
    <w:p w14:paraId="0FE82F0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both"/>
        <w:textAlignment w:val="baseline"/>
        <w:rPr>
          <w:rFonts w:ascii="Times New Roman" w:cs="Times New Roman" w:eastAsia="方正黑体_GBK" w:hAnsi="Times New Roman" w:hint="default"/>
          <w:color w:val="auto"/>
        </w:rPr>
      </w:pPr>
    </w:p>
    <w:p w14:paraId="BFB1D9F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center"/>
        <w:textAlignment w:val="baseline"/>
        <w:rPr>
          <w:rFonts w:ascii="Times New Roman" w:cs="Times New Roman" w:eastAsia="方正黑体_GBK" w:hAnsi="Times New Roman" w:hint="default"/>
          <w:color w:val="auto"/>
          <w:lang w:eastAsia="zh-CN"/>
        </w:rPr>
      </w:pPr>
      <w:r>
        <w:rPr>
          <w:rFonts w:ascii="Times New Roman" w:cs="Times New Roman" w:eastAsia="方正黑体_GBK" w:hAnsi="Times New Roman" w:hint="default"/>
          <w:color w:val="auto"/>
        </w:rPr>
        <w:t>第一部分：</w:t>
      </w:r>
      <w:r>
        <w:rPr>
          <w:rFonts w:ascii="Times New Roman" w:cs="Times New Roman" w:eastAsia="方正黑体_GBK" w:hAnsi="Times New Roman" w:hint="eastAsia"/>
          <w:color w:val="auto"/>
          <w:lang w:eastAsia="zh-CN"/>
        </w:rPr>
        <w:t>现代</w:t>
      </w:r>
      <w:r>
        <w:rPr>
          <w:rFonts w:ascii="Times New Roman" w:cs="Times New Roman" w:eastAsia="方正黑体_GBK" w:hAnsi="Times New Roman" w:hint="default"/>
          <w:color w:val="auto"/>
          <w:lang w:eastAsia="zh-CN"/>
        </w:rPr>
        <w:t>农业</w:t>
      </w:r>
      <w:r>
        <w:rPr>
          <w:rFonts w:ascii="Times New Roman" w:cs="Times New Roman" w:eastAsia="方正黑体_GBK" w:hAnsi="Times New Roman" w:hint="eastAsia"/>
          <w:color w:val="auto"/>
          <w:lang w:eastAsia="zh-CN"/>
        </w:rPr>
        <w:t>领域</w:t>
      </w:r>
    </w:p>
    <w:p w14:paraId="6D15696B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（一）核心种源</w:t>
      </w:r>
    </w:p>
    <w:p w14:paraId="D707C76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农业种质资源收集评价及创新开发利用</w:t>
      </w:r>
    </w:p>
    <w:p w14:paraId="4CA218E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具有山地特色优势的高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产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、优质粮油作物新品种选育</w:t>
      </w:r>
    </w:p>
    <w:p w14:paraId="20FC3D2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具有山地特色优势的高效、优质经济作物新品种选育</w:t>
      </w:r>
    </w:p>
    <w:p w14:paraId="6A2E3AE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林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草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及观赏植物新品种选育</w:t>
      </w:r>
    </w:p>
    <w:p w14:paraId="1D34214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种子种苗、苗木规模化繁育</w:t>
      </w:r>
    </w:p>
    <w:p w14:paraId="1D05A66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地方特色优势畜禽品种培育</w:t>
      </w:r>
    </w:p>
    <w:p w14:paraId="25C0B55A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水产新品种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培育与高效繁殖</w:t>
      </w:r>
    </w:p>
    <w:p w14:paraId="77BA8A5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（二）高效种植、养殖</w:t>
      </w:r>
    </w:p>
    <w:p w14:paraId="7DC56EE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水稻、玉米、马铃薯、高粱、油菜、大豆等粮油作物高产高效种植技术</w:t>
      </w:r>
    </w:p>
    <w:p w14:paraId="5DA5B26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茶叶、辣椒、中药材、食用菌、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蔬菜、精品水果、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刺梨等优势特色产业高效种植技术</w:t>
      </w:r>
    </w:p>
    <w:p w14:paraId="11439F3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优质肉牛、奶牛、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鸭、鹅、鱼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等畜禽、水产规模化生态健康养殖技术</w:t>
      </w:r>
    </w:p>
    <w:p w14:paraId="DCA7F72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（三）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耕地质量</w:t>
      </w:r>
    </w:p>
    <w:p w14:paraId="7760D25D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黏重土壤健康培育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坡耕地水资源高效利用及高标准农田培肥等技术</w:t>
      </w:r>
    </w:p>
    <w:p w14:paraId="28E40289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（四）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设施农业及智能化</w:t>
      </w:r>
    </w:p>
    <w:p w14:paraId="D6E8B33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适宜贵州山地农业特点的设施设备</w:t>
      </w:r>
    </w:p>
    <w:p w14:paraId="34611C5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设施农业高效种植养殖及智能化管理技术</w:t>
      </w:r>
    </w:p>
    <w:p w14:paraId="C1DA82C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（五）山地农机装备</w:t>
      </w:r>
    </w:p>
    <w:p w14:paraId="B210662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适宜我省山地的粮油及优势特色作物播栽、收获农机装备</w:t>
      </w:r>
    </w:p>
    <w:p w14:paraId="E5231FE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优质农产品、食品、中药材加工成套机械化装备</w:t>
      </w:r>
    </w:p>
    <w:p w14:paraId="0693218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（六）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农产品及食品加工、储藏</w:t>
      </w:r>
    </w:p>
    <w:p w14:paraId="CB6181CB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◆蓝莓等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特色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农产品食品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加工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技术</w:t>
      </w:r>
    </w:p>
    <w:p w14:paraId="7EBF2B0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绿色安全保鲜保质、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减损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贮运与物流配送技术</w:t>
      </w:r>
    </w:p>
    <w:p w14:paraId="88F5EAD5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农产品、食品质量安全追溯与评价、检测全程质量控制技术</w:t>
      </w:r>
    </w:p>
    <w:p w14:paraId="B6DE27C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（七）绿色投入品</w:t>
      </w:r>
    </w:p>
    <w:p w14:paraId="326B45C1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低毒高效新型农药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、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功能生物有机肥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、新型肥料、</w:t>
      </w:r>
      <w:r>
        <w:rPr>
          <w:rFonts w:ascii="Times New Roman" w:cs="Times New Roman" w:eastAsia="仿宋_GB2312" w:hAnsi="Times New Roman" w:hint="eastAsia"/>
          <w:color w:val="auto"/>
          <w:lang w:val="zh-CN"/>
        </w:rPr>
        <w:t>绿色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兽药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、饲料及饲料添加剂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产品</w:t>
      </w:r>
    </w:p>
    <w:p w14:paraId="A4B013C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重大植物病虫害绿色防控、畜禽水产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重大疫病防控技术</w:t>
      </w:r>
    </w:p>
    <w:p w14:paraId="62A2870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土壤残膜、污染物消减等技术</w:t>
      </w:r>
    </w:p>
    <w:p w14:paraId="D125BF2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both"/>
        <w:textAlignment w:val="baseline"/>
        <w:rPr>
          <w:rFonts w:ascii="Times New Roman" w:cs="Times New Roman" w:eastAsia="方正黑体_GBK" w:hAnsi="Times New Roman" w:hint="default"/>
          <w:color w:val="auto"/>
        </w:rPr>
      </w:pPr>
    </w:p>
    <w:p w14:paraId="EF17A6C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0" w:firstLineChars="0"/>
        <w:jc w:val="center"/>
        <w:textAlignment w:val="baseline"/>
        <w:rPr>
          <w:rFonts w:ascii="Times New Roman" w:cs="Times New Roman" w:eastAsia="方正黑体_GBK" w:hAnsi="Times New Roman" w:hint="default"/>
          <w:color w:val="auto"/>
        </w:rPr>
      </w:pPr>
      <w:r>
        <w:rPr>
          <w:rFonts w:ascii="Times New Roman" w:cs="Times New Roman" w:eastAsia="方正黑体_GBK" w:hAnsi="Times New Roman" w:hint="default"/>
          <w:color w:val="auto"/>
        </w:rPr>
        <w:t>第</w:t>
      </w:r>
      <w:r>
        <w:rPr>
          <w:rFonts w:ascii="Times New Roman" w:cs="Times New Roman" w:eastAsia="方正黑体_GBK" w:hAnsi="Times New Roman" w:hint="default"/>
          <w:color w:val="auto"/>
          <w:lang w:eastAsia="zh-CN"/>
        </w:rPr>
        <w:t>二</w:t>
      </w:r>
      <w:r>
        <w:rPr>
          <w:rFonts w:ascii="Times New Roman" w:cs="Times New Roman" w:eastAsia="方正黑体_GBK" w:hAnsi="Times New Roman" w:hint="default"/>
          <w:color w:val="auto"/>
        </w:rPr>
        <w:t>部分：</w:t>
      </w:r>
      <w:r>
        <w:rPr>
          <w:rFonts w:ascii="Times New Roman" w:cs="Times New Roman" w:eastAsia="方正黑体_GBK" w:hAnsi="Times New Roman" w:hint="default"/>
          <w:color w:val="auto"/>
          <w:lang w:eastAsia="zh-CN"/>
        </w:rPr>
        <w:t>社会发展</w:t>
      </w:r>
      <w:r>
        <w:rPr>
          <w:rFonts w:ascii="Times New Roman" w:cs="Times New Roman" w:eastAsia="方正黑体_GBK" w:hAnsi="Times New Roman" w:hint="default"/>
          <w:color w:val="auto"/>
        </w:rPr>
        <w:t>领域</w:t>
      </w:r>
    </w:p>
    <w:p w14:paraId="11426679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（一）生态</w:t>
      </w:r>
    </w:p>
    <w:p w14:paraId="A298C85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退化和典型脆弱生态区、工业园区、重大工程沿线综合整治技术</w:t>
      </w:r>
    </w:p>
    <w:p w14:paraId="922E6BA1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废弃矿山（点）生态修复及产业化技术</w:t>
      </w:r>
    </w:p>
    <w:p w14:paraId="E56026F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河湖污染监测与治理关键技术</w:t>
      </w:r>
    </w:p>
    <w:p w14:paraId="322748E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生物多样性保护和珍稀濒危物种培育、重要种质资源保育、外来物种防治技术</w:t>
      </w:r>
    </w:p>
    <w:p w14:paraId="17E4112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（二）环保</w:t>
      </w:r>
    </w:p>
    <w:p w14:paraId="2E22DA8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lang w:eastAsia="zh-CN"/>
        </w:rPr>
        <w:t>工业固废（磷石膏、煤矸石、锰渣、赤泥、钡渣等）无害化资源综合利用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技术</w:t>
      </w:r>
    </w:p>
    <w:p w14:paraId="114821C2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lang w:eastAsia="zh-CN"/>
        </w:rPr>
        <w:t>新型污染物生态风险评估与消减技术</w:t>
      </w:r>
    </w:p>
    <w:p w14:paraId="094F1BA2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新能源电池循环利用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技术</w:t>
      </w:r>
    </w:p>
    <w:p w14:paraId="BD8455E9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电解铝环保技术</w:t>
      </w:r>
    </w:p>
    <w:p w14:paraId="B281932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lang w:eastAsia="zh-CN"/>
        </w:rPr>
        <w:t>历史遗留渣库（场）汛期水污染，以及喀斯特地区地下水污染物精准溯源、动态监测和防治技术</w:t>
      </w:r>
    </w:p>
    <w:p w14:paraId="73DC9B5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lang w:eastAsia="zh-CN"/>
        </w:rPr>
        <w:t>喀斯特成矿带农用地土壤重金属污染成因、源头阻控及安全利用技术</w:t>
      </w:r>
    </w:p>
    <w:p w14:paraId="9CDF86EA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642" w:firstLineChars="20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（三）资源</w:t>
      </w:r>
    </w:p>
    <w:p w14:paraId="03046E76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贵州绿色智能水网体系构建技术</w:t>
      </w:r>
    </w:p>
    <w:p w14:paraId="935B558A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磷伴生氟等贵州矿产资源高效回收利用</w:t>
      </w:r>
    </w:p>
    <w:p w14:paraId="80BCB8C5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（四）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公共安全</w:t>
      </w:r>
    </w:p>
    <w:p w14:paraId="32E7ABE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食品安全技术、数据标准化制定</w:t>
      </w:r>
    </w:p>
    <w:p w14:paraId="4A0617FF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食品检验检测技术</w:t>
      </w:r>
    </w:p>
    <w:p w14:paraId="1300ACA1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森林火灾智能定位导航灭火设备</w:t>
      </w:r>
    </w:p>
    <w:p w14:paraId="405442BF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桥梁安全检测与评价技术</w:t>
      </w:r>
    </w:p>
    <w:p w14:paraId="2C2A495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适合低空飞行器的气象预报模型构建</w:t>
      </w:r>
    </w:p>
    <w:p w14:paraId="9D32B39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数字化智能化安全监测、预警和应急处理技术</w:t>
      </w:r>
    </w:p>
    <w:p w14:paraId="6547036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firstLine="642" w:firstLineChars="20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（五）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生物医药、中医药</w:t>
      </w:r>
    </w:p>
    <w:p w14:paraId="DE875562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大品种、大宗药材及贵州道地特色中药材种质种苗繁育与生态种植技术</w:t>
      </w:r>
    </w:p>
    <w:p w14:paraId="48E34DB5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大品种、大宗药材及贵州道地特色中药材产地加工质量控制技术</w:t>
      </w:r>
    </w:p>
    <w:p w14:paraId="9A2CCEA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中药材产业链延伸大健康产品、提取物的研发，“药食两用”品种技术及产品</w:t>
      </w:r>
    </w:p>
    <w:p w14:paraId="00257E06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野生天麻等野生药用植物资源调查、种质资源收集评价及开发</w:t>
      </w:r>
    </w:p>
    <w:p w14:paraId="19A4042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生物医药、民族药领域大数据管理与应用技术</w:t>
      </w:r>
    </w:p>
    <w:p w14:paraId="D287607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eastAsia"/>
          <w:color w:val="auto"/>
          <w:lang w:val="zh-CN"/>
        </w:rPr>
        <w:t>生物合成技术</w:t>
      </w:r>
    </w:p>
    <w:p w14:paraId="4683411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szCs w:val="32"/>
          <w:lang w:eastAsia="zh-CN"/>
        </w:rPr>
        <w:t>◆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医药装备、医疗器械研发</w:t>
      </w:r>
    </w:p>
    <w:p w14:paraId="170F301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en-US" w:eastAsia="zh-CN"/>
        </w:rPr>
        <w:t>（六）</w:t>
      </w: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医学（含中医）</w:t>
      </w:r>
    </w:p>
    <w:p w14:paraId="D7FB46E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恶性肿瘤临床医学</w:t>
      </w:r>
    </w:p>
    <w:p w14:paraId="4E0B6E4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心脑血管疾病临床医学</w:t>
      </w:r>
    </w:p>
    <w:p w14:paraId="8DA98BA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慢性呼吸系统疾病临床医学</w:t>
      </w:r>
    </w:p>
    <w:p w14:paraId="8BBDDCB8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代谢性疾病临床医学</w:t>
      </w:r>
    </w:p>
    <w:p w14:paraId="C4B5552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神经系统疾病临床医学</w:t>
      </w:r>
    </w:p>
    <w:p w14:paraId="771A9021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消化系统疾病临床医学</w:t>
      </w:r>
    </w:p>
    <w:p w14:paraId="827113F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楷体_GB2312" w:hAnsi="Times New Roman" w:hint="default"/>
          <w:color w:val="auto"/>
          <w:szCs w:val="32"/>
          <w:lang w:val="zh-CN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妇儿、老年健康等临床医学</w:t>
      </w:r>
    </w:p>
    <w:p w14:paraId="5B06DBA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楷体_GB2312" w:hAnsi="Times New Roman" w:hint="default"/>
          <w:color w:val="auto"/>
          <w:szCs w:val="32"/>
          <w:lang w:val="zh-CN" w:eastAsia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精神疾病、职业病、艾滋病等临床医学</w:t>
      </w:r>
    </w:p>
    <w:p w14:paraId="CAB85DF5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免疫性疾病和感染性疾病等重大疾病临床医学</w:t>
      </w:r>
    </w:p>
    <w:p w14:paraId="341F2C1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泌尿生殖系统、血液系统、骨科、眼耳鼻喉等常见多发病临床医学</w:t>
      </w:r>
    </w:p>
    <w:p w14:paraId="5D511785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疾病预防控制、公共卫生领域技术</w:t>
      </w:r>
    </w:p>
    <w:p w14:paraId="2387EC3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中医药经典名方收集、整理、标准化</w:t>
      </w:r>
    </w:p>
    <w:p w14:paraId="1DDF1DF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  <w:lang w:val="zh-CN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大数据、人工智能在临床医学</w:t>
      </w:r>
      <w:r>
        <w:rPr>
          <w:rFonts w:ascii="Times New Roman" w:cs="Times New Roman" w:eastAsia="仿宋_GB2312" w:hAnsi="Times New Roman" w:hint="eastAsia"/>
          <w:color w:val="auto"/>
          <w:lang w:val="zh-CN"/>
        </w:rPr>
        <w:t>中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的应用</w:t>
      </w:r>
      <w:r>
        <w:rPr>
          <w:rFonts w:ascii="Times New Roman" w:cs="Times New Roman" w:eastAsia="仿宋_GB2312" w:hAnsi="Times New Roman" w:hint="eastAsia"/>
          <w:color w:val="auto"/>
          <w:lang w:val="zh-CN"/>
        </w:rPr>
        <w:t>技术</w:t>
      </w:r>
    </w:p>
    <w:p w14:paraId="2DCEA734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leader="none" w:pos="0"/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737" w:leftChars="0"/>
        <w:jc w:val="both"/>
        <w:textAlignment w:val="baseline"/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auto"/>
          <w:szCs w:val="32"/>
          <w:lang w:val="zh-CN" w:eastAsia="zh-CN"/>
        </w:rPr>
        <w:t>（七）其他社会事业</w:t>
      </w:r>
    </w:p>
    <w:p w14:paraId="B544B2E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文化、旅游保护、挖掘与传承</w:t>
      </w:r>
      <w:r>
        <w:rPr>
          <w:rFonts w:ascii="Times New Roman" w:cs="Times New Roman" w:eastAsia="仿宋_GB2312" w:hAnsi="Times New Roman" w:hint="eastAsia"/>
          <w:color w:val="auto"/>
          <w:lang w:val="zh-CN"/>
        </w:rPr>
        <w:t>中的</w:t>
      </w:r>
      <w:r>
        <w:rPr>
          <w:rFonts w:ascii="Times New Roman" w:cs="Times New Roman" w:eastAsia="仿宋_GB2312" w:hAnsi="Times New Roman" w:hint="default"/>
          <w:color w:val="auto"/>
          <w:lang w:val="en-US" w:eastAsia="zh-CN"/>
        </w:rPr>
        <w:t>数字化、信息化</w:t>
      </w:r>
      <w:r>
        <w:rPr>
          <w:rFonts w:ascii="Times New Roman" w:cs="Times New Roman" w:eastAsia="仿宋_GB2312" w:hAnsi="Times New Roman" w:hint="eastAsia"/>
          <w:color w:val="auto"/>
          <w:lang w:val="en-US" w:eastAsia="zh-CN"/>
        </w:rPr>
        <w:t>应用</w:t>
      </w:r>
      <w:r>
        <w:rPr>
          <w:rFonts w:ascii="Times New Roman" w:cs="Times New Roman" w:eastAsia="仿宋_GB2312" w:hAnsi="Times New Roman" w:hint="default"/>
          <w:color w:val="auto"/>
          <w:lang w:val="zh-CN"/>
        </w:rPr>
        <w:t>技术</w:t>
      </w:r>
    </w:p>
    <w:p w14:paraId="C242BBD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left" w:leader="none" w:pos="3364"/>
        </w:tabs>
        <w:kinsoku/>
        <w:wordWrap/>
        <w:overflowPunct/>
        <w:topLinePunct w:val="false"/>
        <w:autoSpaceDE/>
        <w:autoSpaceDN/>
        <w:bidi w:val="false"/>
        <w:snapToGrid/>
        <w:spacing w:lineRule="exact" w:line="580"/>
        <w:ind w:left="-97" w:leftChars="0" w:firstLine="737" w:firstLineChars="0"/>
        <w:jc w:val="both"/>
        <w:textAlignment w:val="baseline"/>
        <w:rPr>
          <w:rFonts w:ascii="Times New Roman" w:cs="Times New Roman" w:eastAsia="仿宋_GB2312" w:hAnsi="Times New Roman" w:hint="default"/>
          <w:color w:val="auto"/>
        </w:rPr>
      </w:pPr>
      <w:r>
        <w:rPr>
          <w:rFonts w:ascii="Times New Roman" w:cs="Times New Roman" w:eastAsia="仿宋_GB2312" w:hAnsi="Times New Roman" w:hint="default"/>
          <w:color w:val="auto"/>
          <w:lang w:val="zh-CN"/>
        </w:rPr>
        <w:t>世界自然、文化遗产申报</w:t>
      </w:r>
      <w:r>
        <w:rPr>
          <w:rFonts w:ascii="Times New Roman" w:cs="Times New Roman" w:eastAsia="仿宋_GB2312" w:hAnsi="Times New Roman" w:hint="eastAsia"/>
          <w:color w:val="auto"/>
          <w:lang w:val="zh-CN"/>
        </w:rPr>
        <w:t>中的关键技术</w:t>
      </w:r>
    </w:p>
    <w:sectPr>
      <w:footerReference w:type="even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简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CESI黑体-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8607A0C9">
    <w:pPr>
      <w:pStyle w:val="style3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72442F0">
    <w:pPr>
      <w:pStyle w:val="style32"/>
      <w:wordWrap w:val="false"/>
      <w:ind w:firstLine="7280"/>
      <w:jc w:val="right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435600" cy="51562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435600" cy="51562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71DCAB0D">
                          <w:pPr>
                            <w:pStyle w:val="style32"/>
                            <w:wordWrap w:val="false"/>
                            <w:ind w:firstLine="7280"/>
                            <w:jc w:val="right"/>
                            <w:rPr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35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428.0pt;height:40.6pt;z-index:2;mso-position-horizontal:inside;mso-position-horizontal-relative:margin;mso-position-vertical-relative:text;mso-width-relative:page;mso-height-relative:page;mso-wrap-distance-left:0.0pt;mso-wrap-distance-right:0.0pt;visibility:visible;">
              <v:stroke on="f" weight="0.5pt"/>
              <v:fill/>
              <v:textbox inset="0.0pt,0.0pt,0.0pt,0.0pt">
                <w:txbxContent>
                  <w:p w14:paraId="71DCAB0D">
                    <w:pPr>
                      <w:pStyle w:val="style32"/>
                      <w:wordWrap w:val="false"/>
                      <w:ind w:firstLine="7280"/>
                      <w:jc w:val="right"/>
                      <w:rPr/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35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E7DE93B"/>
    <w:lvl w:ilvl="0">
      <w:start w:val="1"/>
      <w:numFmt w:val="decimal"/>
      <w:suff w:val="nothing"/>
      <w:lvlText w:val="NY%1．"/>
      <w:lvlJc w:val="left"/>
      <w:pPr>
        <w:tabs>
          <w:tab w:val="left" w:leader="none" w:pos="0"/>
        </w:tabs>
        <w:ind w:left="-97" w:firstLine="737"/>
      </w:pPr>
      <w:rPr>
        <w:rFonts w:eastAsia="方正仿宋_GBK" w:hint="default"/>
      </w:rPr>
    </w:lvl>
  </w:abstractNum>
  <w:abstractNum w:abstractNumId="1">
    <w:nsid w:val="00000001"/>
    <w:multiLevelType w:val="singleLevel"/>
    <w:tmpl w:val="2EFF5A1A"/>
    <w:lvl w:ilvl="0">
      <w:start w:val="1"/>
      <w:numFmt w:val="decimal"/>
      <w:suff w:val="nothing"/>
      <w:lvlText w:val="SF%1．"/>
      <w:lvlJc w:val="left"/>
      <w:pPr>
        <w:tabs>
          <w:tab w:val="left" w:leader="none" w:pos="0"/>
        </w:tabs>
        <w:ind w:left="-97" w:firstLine="737"/>
      </w:pPr>
      <w:rPr>
        <w:rFonts w:ascii="Times New Roman" w:cs="仿宋_GB2312" w:eastAsia="仿宋_GB2312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4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basedOn w:val="style0"/>
    <w:next w:val="style0"/>
    <w:qFormat/>
    <w:uiPriority w:val="99"/>
    <w:pPr>
      <w:ind w:left="420" w:leftChars="200"/>
    </w:pPr>
    <w:rPr>
      <w:rFonts w:ascii="Times New Roman" w:hAnsi="Times New Roman"/>
    </w:rPr>
  </w:style>
  <w:style w:type="paragraph" w:styleId="style30">
    <w:name w:val="annotation text"/>
    <w:basedOn w:val="style0"/>
    <w:next w:val="style30"/>
    <w:link w:val="style4098"/>
    <w:qFormat/>
    <w:uiPriority w:val="99"/>
    <w:pPr>
      <w:spacing w:lineRule="exact" w:line="240"/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</w:pPr>
    <w:rPr>
      <w:sz w:val="18"/>
    </w:rPr>
  </w:style>
  <w:style w:type="paragraph" w:styleId="style101">
    <w:name w:val="HTML Preformatted"/>
    <w:basedOn w:val="style0"/>
    <w:next w:val="style101"/>
    <w:link w:val="style4101"/>
    <w:qFormat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hAnsi="宋体"/>
      <w:kern w:val="0"/>
      <w:sz w:val="24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kern w:val="0"/>
      <w:sz w:val="24"/>
    </w:rPr>
  </w:style>
  <w:style w:type="paragraph" w:styleId="style106">
    <w:name w:val="annotation subject"/>
    <w:basedOn w:val="style30"/>
    <w:next w:val="style30"/>
    <w:link w:val="style4102"/>
    <w:qFormat/>
    <w:uiPriority w:val="99"/>
    <w:pPr>
      <w:spacing w:lineRule="auto" w:line="240"/>
    </w:pPr>
    <w:rPr>
      <w:b/>
      <w:bCs/>
    </w:rPr>
  </w:style>
  <w:style w:type="character" w:styleId="style39">
    <w:name w:val="annotation reference"/>
    <w:basedOn w:val="style65"/>
    <w:next w:val="style39"/>
    <w:qFormat/>
    <w:uiPriority w:val="99"/>
    <w:rPr>
      <w:rFonts w:cs="Times New Roman"/>
      <w:sz w:val="21"/>
      <w:szCs w:val="21"/>
    </w:rPr>
  </w:style>
  <w:style w:type="character" w:customStyle="1" w:styleId="style4097">
    <w:name w:val="Footer Char_102393f9-5f8e-4deb-8ad0-3d75dbe0059d"/>
    <w:basedOn w:val="style65"/>
    <w:next w:val="style4097"/>
    <w:link w:val="style32"/>
    <w:qFormat/>
    <w:uiPriority w:val="99"/>
    <w:rPr>
      <w:rFonts w:ascii="Calibri" w:cs="Times New Roman" w:hAnsi="Calibri"/>
      <w:sz w:val="18"/>
      <w:szCs w:val="18"/>
    </w:rPr>
  </w:style>
  <w:style w:type="character" w:customStyle="1" w:styleId="style4098">
    <w:name w:val="Comment Text Char"/>
    <w:basedOn w:val="style65"/>
    <w:next w:val="style4098"/>
    <w:link w:val="style30"/>
    <w:qFormat/>
    <w:uiPriority w:val="99"/>
    <w:rPr>
      <w:rFonts w:ascii="Calibri" w:cs="Times New Roman" w:hAnsi="Calibri"/>
      <w:sz w:val="24"/>
      <w:szCs w:val="24"/>
    </w:rPr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Calibri" w:cs="Times New Roman" w:hAnsi="Calibri"/>
      <w:sz w:val="2"/>
    </w:rPr>
  </w:style>
  <w:style w:type="character" w:customStyle="1" w:styleId="style4100">
    <w:name w:val="Header Char_ca837d8e-2a4c-46d9-9cb5-c24e8c5d0cd5"/>
    <w:basedOn w:val="style65"/>
    <w:next w:val="style4100"/>
    <w:link w:val="style31"/>
    <w:qFormat/>
    <w:uiPriority w:val="99"/>
    <w:rPr>
      <w:rFonts w:ascii="Calibri" w:cs="Times New Roman" w:hAnsi="Calibri"/>
      <w:sz w:val="18"/>
      <w:szCs w:val="18"/>
    </w:rPr>
  </w:style>
  <w:style w:type="character" w:customStyle="1" w:styleId="style4101">
    <w:name w:val="HTML Preformatted Char"/>
    <w:basedOn w:val="style65"/>
    <w:next w:val="style4101"/>
    <w:link w:val="style101"/>
    <w:qFormat/>
    <w:uiPriority w:val="99"/>
    <w:rPr>
      <w:rFonts w:ascii="Courier New" w:cs="Courier New" w:hAnsi="Courier New"/>
      <w:sz w:val="20"/>
      <w:szCs w:val="20"/>
    </w:rPr>
  </w:style>
  <w:style w:type="character" w:customStyle="1" w:styleId="style4102">
    <w:name w:val="Comment Subject Char"/>
    <w:basedOn w:val="style4098"/>
    <w:next w:val="style4102"/>
    <w:link w:val="style106"/>
    <w:qFormat/>
    <w:uiPriority w:val="99"/>
    <w:rPr>
      <w:b/>
      <w:bCs/>
    </w:rPr>
  </w:style>
  <w:style w:type="paragraph" w:styleId="style179">
    <w:name w:val="List Paragraph"/>
    <w:basedOn w:val="style0"/>
    <w:next w:val="style179"/>
    <w:qFormat/>
    <w:uiPriority w:val="99"/>
    <w:pPr>
      <w:ind w:firstLine="420"/>
    </w:pPr>
    <w:rPr>
      <w:szCs w:val="22"/>
    </w:rPr>
  </w:style>
  <w:style w:type="paragraph" w:customStyle="1" w:styleId="style4103">
    <w:name w:val="Other|1"/>
    <w:basedOn w:val="style0"/>
    <w:next w:val="style4103"/>
    <w:qFormat/>
    <w:uiPriority w:val="99"/>
    <w:pPr>
      <w:spacing w:lineRule="auto" w:line="451"/>
      <w:ind w:firstLine="400"/>
    </w:pPr>
    <w:rPr>
      <w:rFonts w:ascii="宋体" w:cs="宋体" w:hAnsi="宋体"/>
      <w:kern w:val="0"/>
      <w:sz w:val="26"/>
      <w:szCs w:val="26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Words>1447</Words>
  <Pages>36</Pages>
  <Characters>1452</Characters>
  <Application>WPS Office</Application>
  <DocSecurity>1</DocSecurity>
  <Paragraphs>91</Paragraphs>
  <ScaleCrop>false</ScaleCrop>
  <LinksUpToDate>false</LinksUpToDate>
  <CharactersWithSpaces>1457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2022-12-13T06:23:00Z</dcterms:created>
  <dc:creator>ysgz</dc:creator>
  <lastModifiedBy>23127PN0CC</lastModifiedBy>
  <lastPrinted>2025-06-20T14:43:44Z</lastPrinted>
  <dcterms:modified xsi:type="dcterms:W3CDTF">2025-06-20T10:35:17Z</dcterms:modified>
  <revision>18</revision>
  <dc:title>省科技厅关于发布2024年度三大科技计划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A1EC1C51FDCE904F1A964768475D1619</vt:lpwstr>
  </property>
</Properties>
</file>