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4D58A">
      <w:pPr>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47046FAB">
      <w:pPr>
        <w:pStyle w:val="2"/>
      </w:pPr>
    </w:p>
    <w:p w14:paraId="5DA4914B">
      <w:pPr>
        <w:spacing w:line="560" w:lineRule="exact"/>
        <w:jc w:val="center"/>
        <w:rPr>
          <w:rFonts w:eastAsia="方正小标宋简体"/>
          <w:color w:val="auto"/>
          <w:sz w:val="44"/>
          <w:szCs w:val="44"/>
        </w:rPr>
      </w:pPr>
      <w:r>
        <w:rPr>
          <w:rFonts w:hint="eastAsia" w:eastAsia="方正小标宋简体"/>
          <w:color w:val="auto"/>
          <w:sz w:val="44"/>
          <w:szCs w:val="44"/>
          <w:lang w:eastAsia="zh-CN"/>
        </w:rPr>
        <w:t>第十</w:t>
      </w:r>
      <w:r>
        <w:rPr>
          <w:rFonts w:hint="eastAsia" w:eastAsia="方正小标宋简体"/>
          <w:color w:val="auto"/>
          <w:sz w:val="44"/>
          <w:szCs w:val="44"/>
          <w:lang w:val="en-US" w:eastAsia="zh-CN"/>
        </w:rPr>
        <w:t>四</w:t>
      </w:r>
      <w:r>
        <w:rPr>
          <w:rFonts w:hint="eastAsia" w:eastAsia="方正小标宋简体"/>
          <w:color w:val="auto"/>
          <w:sz w:val="44"/>
          <w:szCs w:val="44"/>
          <w:lang w:eastAsia="zh-CN"/>
        </w:rPr>
        <w:t>届</w:t>
      </w:r>
      <w:r>
        <w:rPr>
          <w:rFonts w:eastAsia="方正小标宋简体"/>
          <w:color w:val="auto"/>
          <w:sz w:val="44"/>
          <w:szCs w:val="44"/>
        </w:rPr>
        <w:t>中国创新创业大赛贵州赛区</w:t>
      </w:r>
    </w:p>
    <w:p w14:paraId="2173B8EB">
      <w:pPr>
        <w:spacing w:line="560" w:lineRule="exact"/>
        <w:jc w:val="center"/>
        <w:rPr>
          <w:rFonts w:eastAsia="方正小标宋简体"/>
          <w:color w:val="auto"/>
          <w:sz w:val="44"/>
          <w:szCs w:val="44"/>
        </w:rPr>
      </w:pPr>
      <w:r>
        <w:rPr>
          <w:rFonts w:eastAsia="方正小标宋简体"/>
          <w:color w:val="auto"/>
          <w:sz w:val="44"/>
          <w:szCs w:val="44"/>
        </w:rPr>
        <w:t>复赛工作方案</w:t>
      </w:r>
    </w:p>
    <w:p w14:paraId="10792555">
      <w:pPr>
        <w:topLinePunct/>
        <w:adjustRightInd w:val="0"/>
        <w:snapToGrid w:val="0"/>
        <w:spacing w:line="560" w:lineRule="exact"/>
        <w:ind w:firstLine="640" w:firstLineChars="200"/>
        <w:rPr>
          <w:rFonts w:eastAsia="仿宋_GB2312"/>
          <w:color w:val="auto"/>
          <w:sz w:val="32"/>
          <w:szCs w:val="32"/>
        </w:rPr>
      </w:pPr>
    </w:p>
    <w:p w14:paraId="36B791FB">
      <w:pPr>
        <w:topLinePunct/>
        <w:adjustRightInd w:val="0"/>
        <w:snapToGrid w:val="0"/>
        <w:spacing w:line="560" w:lineRule="exact"/>
        <w:ind w:firstLine="640" w:firstLineChars="200"/>
        <w:jc w:val="both"/>
        <w:rPr>
          <w:rFonts w:hint="eastAsia" w:eastAsia="仿宋_GB2312"/>
          <w:color w:val="auto"/>
          <w:sz w:val="32"/>
          <w:szCs w:val="32"/>
        </w:rPr>
      </w:pPr>
      <w:r>
        <w:rPr>
          <w:rFonts w:hint="eastAsia" w:eastAsia="仿宋_GB2312"/>
          <w:color w:val="auto"/>
          <w:sz w:val="32"/>
          <w:szCs w:val="32"/>
        </w:rPr>
        <w:t>根据《工业和信息化部火炬高技术产业开发中心关于举办第十四届中国创新创业大赛的通知》（火炬〔2025〕16号）《贵州省科学技术厅关于举办第十四届中国创新创业大赛贵州赛区赛事活动的通知》有关要求及工作安排，第十四届中国创新创业大赛贵州赛区复赛（以下简称“复赛”）定于2025年8月</w:t>
      </w:r>
      <w:r>
        <w:rPr>
          <w:rFonts w:hint="eastAsia" w:eastAsia="仿宋_GB2312"/>
          <w:color w:val="auto"/>
          <w:sz w:val="32"/>
          <w:szCs w:val="32"/>
          <w:lang w:val="en-US" w:eastAsia="zh-CN"/>
        </w:rPr>
        <w:t>中上旬</w:t>
      </w:r>
      <w:r>
        <w:rPr>
          <w:rFonts w:hint="eastAsia" w:eastAsia="仿宋_GB2312"/>
          <w:color w:val="auto"/>
          <w:sz w:val="32"/>
          <w:szCs w:val="32"/>
        </w:rPr>
        <w:t>举行，为确保工作有序开展，特制定本方案。</w:t>
      </w:r>
    </w:p>
    <w:p w14:paraId="5C445766">
      <w:pPr>
        <w:adjustRightInd w:val="0"/>
        <w:snapToGrid w:val="0"/>
        <w:spacing w:line="560" w:lineRule="exact"/>
        <w:ind w:firstLine="640" w:firstLineChars="200"/>
        <w:rPr>
          <w:rFonts w:eastAsia="仿宋_GB2312"/>
          <w:bCs/>
          <w:color w:val="auto"/>
          <w:sz w:val="32"/>
          <w:szCs w:val="32"/>
        </w:rPr>
      </w:pPr>
      <w:r>
        <w:rPr>
          <w:rFonts w:eastAsia="黑体"/>
          <w:bCs/>
          <w:color w:val="auto"/>
          <w:sz w:val="32"/>
          <w:szCs w:val="32"/>
        </w:rPr>
        <w:t>一、组织机构</w:t>
      </w:r>
    </w:p>
    <w:p w14:paraId="2EFF936B">
      <w:pPr>
        <w:adjustRightInd w:val="0"/>
        <w:snapToGrid w:val="0"/>
        <w:spacing w:line="560" w:lineRule="exact"/>
        <w:ind w:firstLine="640" w:firstLineChars="200"/>
        <w:rPr>
          <w:rFonts w:eastAsia="仿宋_GB2312"/>
          <w:b/>
          <w:color w:val="auto"/>
          <w:sz w:val="32"/>
          <w:szCs w:val="32"/>
        </w:rPr>
      </w:pPr>
      <w:r>
        <w:rPr>
          <w:rFonts w:eastAsia="楷体_GB2312"/>
          <w:bCs/>
          <w:color w:val="auto"/>
          <w:sz w:val="32"/>
          <w:szCs w:val="32"/>
        </w:rPr>
        <w:t>（一）主办单位</w:t>
      </w:r>
      <w:r>
        <w:rPr>
          <w:rFonts w:eastAsia="仿宋_GB2312"/>
          <w:b/>
          <w:color w:val="auto"/>
          <w:sz w:val="32"/>
          <w:szCs w:val="32"/>
        </w:rPr>
        <w:t xml:space="preserve">  </w:t>
      </w:r>
    </w:p>
    <w:p w14:paraId="0EAC16F4">
      <w:pPr>
        <w:adjustRightInd w:val="0"/>
        <w:snapToGrid w:val="0"/>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贵州省科学技术厅</w:t>
      </w:r>
    </w:p>
    <w:p w14:paraId="45F1BF03">
      <w:pPr>
        <w:numPr>
          <w:ilvl w:val="0"/>
          <w:numId w:val="2"/>
        </w:numPr>
        <w:adjustRightInd w:val="0"/>
        <w:snapToGrid w:val="0"/>
        <w:spacing w:line="560" w:lineRule="exact"/>
        <w:ind w:left="640" w:leftChars="0" w:firstLine="0" w:firstLineChars="0"/>
        <w:rPr>
          <w:rFonts w:eastAsia="楷体_GB2312"/>
          <w:bCs/>
          <w:color w:val="auto"/>
          <w:sz w:val="32"/>
          <w:szCs w:val="32"/>
        </w:rPr>
      </w:pPr>
      <w:r>
        <w:rPr>
          <w:rFonts w:eastAsia="楷体_GB2312"/>
          <w:bCs/>
          <w:color w:val="auto"/>
          <w:sz w:val="32"/>
          <w:szCs w:val="32"/>
        </w:rPr>
        <w:t>协办单位</w:t>
      </w:r>
    </w:p>
    <w:p w14:paraId="7D013884">
      <w:pPr>
        <w:adjustRightInd w:val="0"/>
        <w:snapToGrid w:val="0"/>
        <w:spacing w:line="560" w:lineRule="exact"/>
        <w:ind w:firstLine="640" w:firstLineChars="200"/>
        <w:rPr>
          <w:rFonts w:eastAsia="仿宋_GB2312"/>
          <w:color w:val="auto"/>
          <w:sz w:val="32"/>
          <w:szCs w:val="32"/>
        </w:rPr>
      </w:pPr>
      <w:r>
        <w:rPr>
          <w:rFonts w:hint="eastAsia" w:eastAsia="仿宋_GB2312"/>
          <w:color w:val="auto"/>
          <w:sz w:val="32"/>
          <w:szCs w:val="32"/>
        </w:rPr>
        <w:t>各市（州）科技管理部门</w:t>
      </w:r>
    </w:p>
    <w:p w14:paraId="0D5DE01A">
      <w:pPr>
        <w:adjustRightInd w:val="0"/>
        <w:snapToGrid w:val="0"/>
        <w:spacing w:line="560" w:lineRule="exact"/>
        <w:ind w:firstLine="640" w:firstLineChars="200"/>
        <w:rPr>
          <w:rFonts w:eastAsia="仿宋_GB2312"/>
          <w:b/>
          <w:color w:val="auto"/>
          <w:sz w:val="32"/>
          <w:szCs w:val="32"/>
        </w:rPr>
      </w:pPr>
      <w:r>
        <w:rPr>
          <w:rFonts w:eastAsia="楷体_GB2312"/>
          <w:bCs/>
          <w:color w:val="auto"/>
          <w:sz w:val="32"/>
          <w:szCs w:val="32"/>
        </w:rPr>
        <w:t>（三）承办单位</w:t>
      </w:r>
      <w:r>
        <w:rPr>
          <w:rFonts w:eastAsia="仿宋_GB2312"/>
          <w:b/>
          <w:color w:val="auto"/>
          <w:sz w:val="32"/>
          <w:szCs w:val="32"/>
        </w:rPr>
        <w:t xml:space="preserve"> </w:t>
      </w:r>
    </w:p>
    <w:p w14:paraId="264240C8">
      <w:p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贵州省科技创新中心有限责任公司</w:t>
      </w:r>
    </w:p>
    <w:p w14:paraId="5FBB1963">
      <w:p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贵州贵安新区管理委员会大数据和科技创新局</w:t>
      </w:r>
    </w:p>
    <w:p w14:paraId="7D31F9F4">
      <w:p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贵阳高新技术创业服务中心</w:t>
      </w:r>
    </w:p>
    <w:p w14:paraId="6FC3D678">
      <w:p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贵州双龙航空港经济区产业发展局</w:t>
      </w:r>
    </w:p>
    <w:p w14:paraId="5E20D7EA">
      <w:p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贵阳市观山湖区科学技术局</w:t>
      </w:r>
    </w:p>
    <w:p w14:paraId="781E242B">
      <w:pPr>
        <w:adjustRightInd w:val="0"/>
        <w:snapToGrid w:val="0"/>
        <w:spacing w:line="560" w:lineRule="exact"/>
        <w:ind w:firstLine="640" w:firstLineChars="200"/>
        <w:rPr>
          <w:rFonts w:hint="eastAsia" w:eastAsia="仿宋_GB2312"/>
          <w:color w:val="auto"/>
          <w:sz w:val="32"/>
          <w:szCs w:val="32"/>
        </w:rPr>
      </w:pPr>
      <w:r>
        <w:rPr>
          <w:rFonts w:hint="eastAsia" w:eastAsia="仿宋_GB2312"/>
          <w:color w:val="auto"/>
          <w:sz w:val="32"/>
          <w:szCs w:val="32"/>
        </w:rPr>
        <w:t>贵阳市花溪区科学技术局</w:t>
      </w:r>
    </w:p>
    <w:p w14:paraId="69F84047">
      <w:pPr>
        <w:adjustRightInd w:val="0"/>
        <w:snapToGrid w:val="0"/>
        <w:spacing w:line="560" w:lineRule="exact"/>
        <w:ind w:firstLine="640" w:firstLineChars="200"/>
        <w:rPr>
          <w:rFonts w:eastAsia="楷体_GB2312"/>
          <w:bCs/>
          <w:color w:val="auto"/>
          <w:sz w:val="32"/>
          <w:szCs w:val="32"/>
        </w:rPr>
      </w:pPr>
      <w:r>
        <w:rPr>
          <w:rFonts w:hint="eastAsia" w:eastAsia="仿宋_GB2312"/>
          <w:color w:val="auto"/>
          <w:sz w:val="32"/>
          <w:szCs w:val="32"/>
        </w:rPr>
        <w:t>遵义市汇川区工业能源和科学技术局</w:t>
      </w:r>
    </w:p>
    <w:p w14:paraId="0E4BF73F">
      <w:pPr>
        <w:adjustRightInd w:val="0"/>
        <w:snapToGrid w:val="0"/>
        <w:spacing w:line="560" w:lineRule="exact"/>
        <w:ind w:firstLine="640" w:firstLineChars="200"/>
        <w:rPr>
          <w:rFonts w:eastAsia="楷体_GB2312"/>
          <w:bCs/>
          <w:color w:val="auto"/>
          <w:sz w:val="32"/>
          <w:szCs w:val="32"/>
        </w:rPr>
      </w:pPr>
      <w:r>
        <w:rPr>
          <w:rFonts w:eastAsia="楷体_GB2312"/>
          <w:bCs/>
          <w:color w:val="auto"/>
          <w:sz w:val="32"/>
          <w:szCs w:val="32"/>
        </w:rPr>
        <w:t>（四）</w:t>
      </w:r>
      <w:r>
        <w:rPr>
          <w:rFonts w:hint="eastAsia" w:eastAsia="楷体_GB2312"/>
          <w:bCs/>
          <w:color w:val="auto"/>
          <w:sz w:val="32"/>
          <w:szCs w:val="32"/>
        </w:rPr>
        <w:t>执行单位</w:t>
      </w:r>
    </w:p>
    <w:p w14:paraId="0F5480AA">
      <w:pPr>
        <w:adjustRightInd w:val="0"/>
        <w:snapToGrid w:val="0"/>
        <w:spacing w:line="56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val="en-US" w:eastAsia="zh-CN"/>
        </w:rPr>
        <w:t>贵州省技术转移中心有限责任公司</w:t>
      </w:r>
    </w:p>
    <w:p w14:paraId="601A8EAD">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贵州科学城管理有限责任公司</w:t>
      </w:r>
    </w:p>
    <w:p w14:paraId="59D07828">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遵义市新质生产力科技创新发展有限公司</w:t>
      </w:r>
    </w:p>
    <w:p w14:paraId="12869959">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贵州贵漂科技（集团）有限公司</w:t>
      </w:r>
    </w:p>
    <w:p w14:paraId="73FAC7BF">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贵州贵漂云孵科技有限公司</w:t>
      </w:r>
    </w:p>
    <w:p w14:paraId="01C921B5">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贵州创客科技孵化器有限公司</w:t>
      </w:r>
    </w:p>
    <w:p w14:paraId="6ABD9626">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贵州理工科技园有限责任公司</w:t>
      </w:r>
    </w:p>
    <w:p w14:paraId="71EFFAE3">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贵阳博新雅信科技发展有限公司</w:t>
      </w:r>
    </w:p>
    <w:p w14:paraId="6C5C6B3F">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安顺市科枢技术转移中心有限公司</w:t>
      </w:r>
    </w:p>
    <w:p w14:paraId="6A3180FD">
      <w:pPr>
        <w:adjustRightInd w:val="0"/>
        <w:snapToGrid w:val="0"/>
        <w:spacing w:line="560" w:lineRule="exact"/>
        <w:ind w:firstLine="640" w:firstLineChars="200"/>
        <w:rPr>
          <w:rFonts w:eastAsia="仿宋_GB2312"/>
          <w:b/>
          <w:color w:val="auto"/>
          <w:sz w:val="32"/>
          <w:szCs w:val="32"/>
        </w:rPr>
      </w:pPr>
      <w:r>
        <w:rPr>
          <w:rFonts w:hint="eastAsia" w:eastAsia="楷体_GB2312"/>
          <w:bCs/>
          <w:color w:val="auto"/>
          <w:sz w:val="32"/>
          <w:szCs w:val="32"/>
          <w:lang w:eastAsia="zh-CN"/>
        </w:rPr>
        <w:t>（五）支持单位</w:t>
      </w:r>
    </w:p>
    <w:p w14:paraId="2595CB4D">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贵州科学城服务中心</w:t>
      </w:r>
    </w:p>
    <w:p w14:paraId="5AF43F4F">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贵州证券业协会</w:t>
      </w:r>
    </w:p>
    <w:p w14:paraId="64BBEF45">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贵州资本市场服务中心</w:t>
      </w:r>
    </w:p>
    <w:p w14:paraId="69D9512A">
      <w:pPr>
        <w:pStyle w:val="2"/>
        <w:ind w:left="0" w:leftChars="0"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贵州省创业股权投资协会</w:t>
      </w:r>
    </w:p>
    <w:p w14:paraId="4A9152E1">
      <w:pPr>
        <w:adjustRightInd w:val="0"/>
        <w:snapToGrid w:val="0"/>
        <w:spacing w:line="560" w:lineRule="exact"/>
        <w:ind w:firstLine="640" w:firstLineChars="200"/>
        <w:rPr>
          <w:rFonts w:eastAsia="黑体"/>
          <w:bCs/>
          <w:color w:val="auto"/>
          <w:sz w:val="32"/>
          <w:szCs w:val="32"/>
        </w:rPr>
      </w:pPr>
      <w:r>
        <w:rPr>
          <w:rFonts w:eastAsia="黑体"/>
          <w:bCs/>
          <w:color w:val="auto"/>
          <w:sz w:val="32"/>
          <w:szCs w:val="32"/>
        </w:rPr>
        <w:t>二、总体安排</w:t>
      </w:r>
    </w:p>
    <w:p w14:paraId="4398A002">
      <w:pPr>
        <w:adjustRightInd w:val="0"/>
        <w:snapToGrid w:val="0"/>
        <w:spacing w:line="560" w:lineRule="exact"/>
        <w:ind w:firstLine="640" w:firstLineChars="200"/>
        <w:rPr>
          <w:rFonts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（一）时间</w:t>
      </w:r>
    </w:p>
    <w:p w14:paraId="0B4F73D2">
      <w:pPr>
        <w:adjustRightInd w:val="0"/>
        <w:snapToGrid w:val="0"/>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202</w:t>
      </w:r>
      <w:r>
        <w:rPr>
          <w:rFonts w:hint="eastAsia" w:eastAsia="仿宋_GB2312"/>
          <w:color w:val="auto"/>
          <w:sz w:val="32"/>
          <w:szCs w:val="32"/>
          <w:lang w:val="en-US" w:eastAsia="zh-CN"/>
        </w:rPr>
        <w:t>5</w:t>
      </w:r>
      <w:r>
        <w:rPr>
          <w:rFonts w:hint="eastAsia" w:eastAsia="仿宋_GB2312"/>
          <w:color w:val="auto"/>
          <w:sz w:val="32"/>
          <w:szCs w:val="32"/>
          <w:lang w:eastAsia="zh-CN"/>
        </w:rPr>
        <w:t>年8月</w:t>
      </w:r>
      <w:r>
        <w:rPr>
          <w:rFonts w:hint="eastAsia" w:eastAsia="仿宋_GB2312"/>
          <w:color w:val="auto"/>
          <w:sz w:val="32"/>
          <w:szCs w:val="32"/>
          <w:lang w:val="en-US" w:eastAsia="zh-CN"/>
        </w:rPr>
        <w:t>8</w:t>
      </w:r>
      <w:r>
        <w:rPr>
          <w:rFonts w:hint="eastAsia" w:eastAsia="仿宋_GB2312"/>
          <w:color w:val="auto"/>
          <w:sz w:val="32"/>
          <w:szCs w:val="32"/>
          <w:lang w:eastAsia="zh-CN"/>
        </w:rPr>
        <w:t>日至</w:t>
      </w:r>
      <w:r>
        <w:rPr>
          <w:rFonts w:hint="eastAsia" w:eastAsia="仿宋_GB2312"/>
          <w:color w:val="auto"/>
          <w:sz w:val="32"/>
          <w:szCs w:val="32"/>
          <w:lang w:val="en-US" w:eastAsia="zh-CN"/>
        </w:rPr>
        <w:t>13</w:t>
      </w:r>
      <w:r>
        <w:rPr>
          <w:rFonts w:hint="eastAsia" w:eastAsia="仿宋_GB2312"/>
          <w:color w:val="auto"/>
          <w:sz w:val="32"/>
          <w:szCs w:val="32"/>
          <w:lang w:eastAsia="zh-CN"/>
        </w:rPr>
        <w:t>日。</w:t>
      </w:r>
    </w:p>
    <w:p w14:paraId="29CC2422">
      <w:pPr>
        <w:adjustRightInd w:val="0"/>
        <w:snapToGrid w:val="0"/>
        <w:spacing w:line="560" w:lineRule="exact"/>
        <w:ind w:firstLine="640" w:firstLineChars="200"/>
        <w:rPr>
          <w:rFonts w:hint="default" w:ascii="Times New Roman" w:hAnsi="Times New Roman" w:eastAsia="楷体_GB2312" w:cs="Times New Roman"/>
          <w:bCs/>
          <w:color w:val="auto"/>
          <w:sz w:val="32"/>
          <w:szCs w:val="32"/>
          <w:lang w:val="en-US" w:eastAsia="zh-CN"/>
        </w:rPr>
      </w:pPr>
      <w:r>
        <w:rPr>
          <w:rFonts w:hint="eastAsia" w:ascii="Times New Roman" w:hAnsi="Times New Roman" w:eastAsia="楷体_GB2312" w:cs="Times New Roman"/>
          <w:bCs/>
          <w:color w:val="auto"/>
          <w:sz w:val="32"/>
          <w:szCs w:val="32"/>
        </w:rPr>
        <w:t>（二）</w:t>
      </w:r>
      <w:r>
        <w:rPr>
          <w:rFonts w:hint="eastAsia" w:eastAsia="楷体_GB2312" w:cs="Times New Roman"/>
          <w:bCs/>
          <w:color w:val="auto"/>
          <w:sz w:val="32"/>
          <w:szCs w:val="32"/>
          <w:lang w:val="en-US" w:eastAsia="zh-CN"/>
        </w:rPr>
        <w:t>参赛企业</w:t>
      </w:r>
    </w:p>
    <w:p w14:paraId="1205B10B">
      <w:pPr>
        <w:adjustRightInd w:val="0"/>
        <w:snapToGrid w:val="0"/>
        <w:spacing w:line="56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val="en-US" w:eastAsia="zh-CN"/>
        </w:rPr>
        <w:t>晋级复赛企业共计108家，其中，初创企业组21家，成长企业组87家；经赛前参赛资格复审，最终确定晋级复</w:t>
      </w:r>
      <w:bookmarkStart w:id="0" w:name="_GoBack"/>
      <w:r>
        <w:rPr>
          <w:rFonts w:hint="eastAsia" w:eastAsia="仿宋_GB2312"/>
          <w:color w:val="auto"/>
          <w:sz w:val="32"/>
          <w:szCs w:val="32"/>
          <w:lang w:val="en-US" w:eastAsia="zh-CN"/>
        </w:rPr>
        <w:t>赛企业98家，其中，初创企业组17家，</w:t>
      </w:r>
      <w:bookmarkEnd w:id="0"/>
      <w:r>
        <w:rPr>
          <w:rFonts w:hint="eastAsia" w:eastAsia="仿宋_GB2312"/>
          <w:color w:val="auto"/>
          <w:sz w:val="32"/>
          <w:szCs w:val="32"/>
          <w:lang w:val="en-US" w:eastAsia="zh-CN"/>
        </w:rPr>
        <w:t>成长企业组81家。</w:t>
      </w:r>
    </w:p>
    <w:p w14:paraId="784133C6">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eastAsia="楷体_GB2312" w:cs="Times New Roman"/>
          <w:bCs/>
          <w:color w:val="auto"/>
          <w:sz w:val="32"/>
          <w:szCs w:val="32"/>
          <w:lang w:eastAsia="zh-CN"/>
        </w:rPr>
        <w:t>（</w:t>
      </w:r>
      <w:r>
        <w:rPr>
          <w:rFonts w:hint="eastAsia" w:eastAsia="楷体_GB2312" w:cs="Times New Roman"/>
          <w:bCs/>
          <w:color w:val="auto"/>
          <w:sz w:val="32"/>
          <w:szCs w:val="32"/>
          <w:lang w:val="en-US" w:eastAsia="zh-CN"/>
        </w:rPr>
        <w:t>三</w:t>
      </w:r>
      <w:r>
        <w:rPr>
          <w:rFonts w:hint="eastAsia" w:eastAsia="楷体_GB2312" w:cs="Times New Roman"/>
          <w:bCs/>
          <w:color w:val="auto"/>
          <w:sz w:val="32"/>
          <w:szCs w:val="32"/>
          <w:lang w:eastAsia="zh-CN"/>
        </w:rPr>
        <w:t>）</w:t>
      </w:r>
      <w:r>
        <w:rPr>
          <w:rFonts w:hint="eastAsia" w:ascii="Times New Roman" w:hAnsi="Times New Roman" w:eastAsia="楷体_GB2312" w:cs="Times New Roman"/>
          <w:bCs/>
          <w:color w:val="auto"/>
          <w:sz w:val="32"/>
          <w:szCs w:val="32"/>
        </w:rPr>
        <w:t>分赛</w:t>
      </w:r>
      <w:r>
        <w:rPr>
          <w:rFonts w:hint="eastAsia" w:eastAsia="楷体_GB2312" w:cs="Times New Roman"/>
          <w:bCs/>
          <w:color w:val="auto"/>
          <w:sz w:val="32"/>
          <w:szCs w:val="32"/>
          <w:lang w:val="en-US" w:eastAsia="zh-CN"/>
        </w:rPr>
        <w:t>场设置及企业</w:t>
      </w:r>
      <w:r>
        <w:rPr>
          <w:rFonts w:hint="eastAsia" w:ascii="Times New Roman" w:hAnsi="Times New Roman" w:eastAsia="楷体_GB2312" w:cs="Times New Roman"/>
          <w:bCs/>
          <w:color w:val="auto"/>
          <w:sz w:val="32"/>
          <w:szCs w:val="32"/>
        </w:rPr>
        <w:t>分组情况</w:t>
      </w:r>
    </w:p>
    <w:p w14:paraId="6048C8B5">
      <w:pPr>
        <w:adjustRightInd w:val="0"/>
        <w:snapToGrid w:val="0"/>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复赛共设置3个分赛场，分别为</w:t>
      </w:r>
      <w:r>
        <w:rPr>
          <w:rFonts w:hint="eastAsia" w:eastAsia="仿宋_GB2312"/>
          <w:color w:val="auto"/>
          <w:sz w:val="32"/>
          <w:szCs w:val="32"/>
          <w:highlight w:val="none"/>
          <w:lang w:eastAsia="zh-CN"/>
        </w:rPr>
        <w:t>贵阳、遵义、</w:t>
      </w:r>
      <w:r>
        <w:rPr>
          <w:rFonts w:hint="eastAsia" w:eastAsia="仿宋_GB2312"/>
          <w:color w:val="auto"/>
          <w:sz w:val="32"/>
          <w:szCs w:val="32"/>
          <w:highlight w:val="none"/>
          <w:lang w:val="en-US" w:eastAsia="zh-CN"/>
        </w:rPr>
        <w:t>安顺</w:t>
      </w:r>
      <w:r>
        <w:rPr>
          <w:rFonts w:hint="eastAsia" w:eastAsia="仿宋_GB2312"/>
          <w:color w:val="auto"/>
          <w:sz w:val="32"/>
          <w:szCs w:val="32"/>
          <w:highlight w:val="none"/>
          <w:lang w:eastAsia="zh-CN"/>
        </w:rPr>
        <w:t>分赛场，</w:t>
      </w:r>
      <w:r>
        <w:rPr>
          <w:rFonts w:hint="eastAsia" w:eastAsia="仿宋_GB2312"/>
          <w:color w:val="auto"/>
          <w:sz w:val="32"/>
          <w:szCs w:val="32"/>
          <w:highlight w:val="none"/>
          <w:lang w:val="en-US" w:eastAsia="zh-CN"/>
        </w:rPr>
        <w:t>共计10场次比赛，企业按照分配场次参赛。</w:t>
      </w:r>
    </w:p>
    <w:p w14:paraId="102DAC6A">
      <w:pPr>
        <w:adjustRightInd w:val="0"/>
        <w:snapToGrid w:val="0"/>
        <w:spacing w:line="560" w:lineRule="exact"/>
        <w:ind w:firstLine="640" w:firstLineChars="200"/>
        <w:rPr>
          <w:rFonts w:hint="eastAsia" w:eastAsia="黑体"/>
          <w:bCs/>
          <w:color w:val="auto"/>
          <w:sz w:val="32"/>
          <w:szCs w:val="32"/>
          <w:lang w:val="en-US" w:eastAsia="zh-CN"/>
        </w:rPr>
      </w:pPr>
      <w:r>
        <w:rPr>
          <w:rFonts w:eastAsia="黑体"/>
          <w:bCs/>
          <w:color w:val="auto"/>
          <w:sz w:val="32"/>
          <w:szCs w:val="32"/>
        </w:rPr>
        <w:t>三、相关事项</w:t>
      </w:r>
      <w:r>
        <w:rPr>
          <w:rFonts w:hint="eastAsia" w:eastAsia="黑体"/>
          <w:bCs/>
          <w:color w:val="auto"/>
          <w:sz w:val="32"/>
          <w:szCs w:val="32"/>
          <w:lang w:val="en-US" w:eastAsia="zh-CN"/>
        </w:rPr>
        <w:t>说明</w:t>
      </w:r>
    </w:p>
    <w:p w14:paraId="769AFBB3">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（一）复赛流程</w:t>
      </w:r>
    </w:p>
    <w:p w14:paraId="5FC5881C">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每场次复赛按照如下流程进行，连场复赛根据实际进行相应调整：</w:t>
      </w:r>
    </w:p>
    <w:p w14:paraId="1121CFB8">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1.参赛企业签到入场、抽签。</w:t>
      </w:r>
    </w:p>
    <w:p w14:paraId="74810FB5">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2.主持人介绍出席领导、嘉宾</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评委</w:t>
      </w:r>
      <w:r>
        <w:rPr>
          <w:rFonts w:hint="eastAsia" w:eastAsia="仿宋_GB2312" w:cs="Times New Roman"/>
          <w:bCs/>
          <w:color w:val="auto"/>
          <w:sz w:val="32"/>
          <w:szCs w:val="32"/>
          <w:lang w:val="en-US" w:eastAsia="zh-CN"/>
        </w:rPr>
        <w:t>和</w:t>
      </w:r>
      <w:r>
        <w:rPr>
          <w:rFonts w:hint="eastAsia" w:ascii="Times New Roman" w:hAnsi="Times New Roman" w:eastAsia="仿宋_GB2312" w:cs="Times New Roman"/>
          <w:bCs/>
          <w:color w:val="auto"/>
          <w:sz w:val="32"/>
          <w:szCs w:val="32"/>
          <w:lang w:val="en-US" w:eastAsia="zh-CN"/>
        </w:rPr>
        <w:t>参赛企业。</w:t>
      </w:r>
    </w:p>
    <w:p w14:paraId="786D240F">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3.主持人宣读复赛相关要求（评审规则等）。</w:t>
      </w:r>
    </w:p>
    <w:p w14:paraId="19A2F9D9">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4.企业路演。</w:t>
      </w:r>
    </w:p>
    <w:p w14:paraId="226F7AAE">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5.中场休息，召开评委通气会。</w:t>
      </w:r>
    </w:p>
    <w:p w14:paraId="434768F8">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6.企业路演。</w:t>
      </w:r>
    </w:p>
    <w:p w14:paraId="08E7D865">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7.现场统分。</w:t>
      </w:r>
    </w:p>
    <w:p w14:paraId="3A7CEAA6">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8.主持人公布参赛企业最终得分及晋级决赛企业。</w:t>
      </w:r>
    </w:p>
    <w:p w14:paraId="58420CDE">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9.颁奖</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合影。</w:t>
      </w:r>
    </w:p>
    <w:p w14:paraId="42E71C02">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（二）路演环节</w:t>
      </w:r>
    </w:p>
    <w:p w14:paraId="3792D156">
      <w:pPr>
        <w:adjustRightInd w:val="0"/>
        <w:snapToGrid w:val="0"/>
        <w:spacing w:line="56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1.顺序：参赛企业按照抽签顺序进行路演。</w:t>
      </w:r>
    </w:p>
    <w:p w14:paraId="3A1BDC17">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2.</w:t>
      </w:r>
      <w:r>
        <w:rPr>
          <w:rFonts w:hint="eastAsia" w:eastAsia="仿宋_GB2312" w:cs="Times New Roman"/>
          <w:bCs/>
          <w:color w:val="auto"/>
          <w:sz w:val="32"/>
          <w:szCs w:val="32"/>
          <w:lang w:val="en-US" w:eastAsia="zh-CN"/>
        </w:rPr>
        <w:t>内容</w:t>
      </w:r>
      <w:r>
        <w:rPr>
          <w:rFonts w:hint="eastAsia" w:ascii="Times New Roman" w:hAnsi="Times New Roman" w:eastAsia="仿宋_GB2312" w:cs="Times New Roman"/>
          <w:bCs/>
          <w:color w:val="auto"/>
          <w:sz w:val="32"/>
          <w:szCs w:val="32"/>
          <w:lang w:val="en-US" w:eastAsia="zh-CN"/>
        </w:rPr>
        <w:t>：</w:t>
      </w:r>
      <w:r>
        <w:rPr>
          <w:rFonts w:hint="eastAsia" w:eastAsia="仿宋_GB2312" w:cs="Times New Roman"/>
          <w:bCs/>
          <w:color w:val="auto"/>
          <w:sz w:val="32"/>
          <w:szCs w:val="32"/>
          <w:lang w:val="en-US" w:eastAsia="zh-CN"/>
        </w:rPr>
        <w:t>包括</w:t>
      </w:r>
      <w:r>
        <w:rPr>
          <w:rFonts w:hint="eastAsia" w:ascii="Times New Roman" w:hAnsi="Times New Roman" w:eastAsia="仿宋_GB2312" w:cs="Times New Roman"/>
          <w:bCs/>
          <w:color w:val="auto"/>
          <w:sz w:val="32"/>
          <w:szCs w:val="32"/>
          <w:lang w:val="en-US" w:eastAsia="zh-CN"/>
        </w:rPr>
        <w:t>“PPT路演陈述”和“专家评委提问”。</w:t>
      </w:r>
    </w:p>
    <w:p w14:paraId="3FDE720F">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3.时长：PPT路演陈述8分钟，专家评委提问7分钟，共15分钟。</w:t>
      </w:r>
    </w:p>
    <w:p w14:paraId="05AD6A32">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4.人数：PPT路演</w:t>
      </w:r>
      <w:r>
        <w:rPr>
          <w:rFonts w:hint="eastAsia" w:eastAsia="仿宋_GB2312" w:cs="Times New Roman"/>
          <w:bCs/>
          <w:color w:val="auto"/>
          <w:sz w:val="32"/>
          <w:szCs w:val="32"/>
          <w:lang w:val="en-US" w:eastAsia="zh-CN"/>
        </w:rPr>
        <w:t>时</w:t>
      </w:r>
      <w:r>
        <w:rPr>
          <w:rFonts w:hint="eastAsia" w:ascii="Times New Roman" w:hAnsi="Times New Roman" w:eastAsia="仿宋_GB2312" w:cs="Times New Roman"/>
          <w:bCs/>
          <w:color w:val="auto"/>
          <w:sz w:val="32"/>
          <w:szCs w:val="32"/>
          <w:lang w:val="en-US" w:eastAsia="zh-CN"/>
        </w:rPr>
        <w:t>由1名项目负责人进行</w:t>
      </w:r>
      <w:r>
        <w:rPr>
          <w:rFonts w:hint="eastAsia" w:eastAsia="仿宋_GB2312" w:cs="Times New Roman"/>
          <w:bCs/>
          <w:color w:val="auto"/>
          <w:sz w:val="32"/>
          <w:szCs w:val="32"/>
          <w:lang w:val="en-US" w:eastAsia="zh-CN"/>
        </w:rPr>
        <w:t>陈述</w:t>
      </w:r>
      <w:r>
        <w:rPr>
          <w:rFonts w:hint="eastAsia" w:ascii="Times New Roman" w:hAnsi="Times New Roman" w:eastAsia="仿宋_GB2312" w:cs="Times New Roman"/>
          <w:bCs/>
          <w:color w:val="auto"/>
          <w:sz w:val="32"/>
          <w:szCs w:val="32"/>
          <w:lang w:val="en-US" w:eastAsia="zh-CN"/>
        </w:rPr>
        <w:t>，专家评委提问</w:t>
      </w:r>
      <w:r>
        <w:rPr>
          <w:rFonts w:hint="eastAsia" w:eastAsia="仿宋_GB2312" w:cs="Times New Roman"/>
          <w:bCs/>
          <w:color w:val="auto"/>
          <w:sz w:val="32"/>
          <w:szCs w:val="32"/>
          <w:lang w:val="en-US" w:eastAsia="zh-CN"/>
        </w:rPr>
        <w:t>时</w:t>
      </w:r>
      <w:r>
        <w:rPr>
          <w:rFonts w:hint="eastAsia" w:ascii="Times New Roman" w:hAnsi="Times New Roman" w:eastAsia="仿宋_GB2312" w:cs="Times New Roman"/>
          <w:bCs/>
          <w:color w:val="auto"/>
          <w:sz w:val="32"/>
          <w:szCs w:val="32"/>
          <w:lang w:val="en-US" w:eastAsia="zh-CN"/>
        </w:rPr>
        <w:t>可</w:t>
      </w:r>
      <w:r>
        <w:rPr>
          <w:rFonts w:hint="eastAsia" w:eastAsia="仿宋_GB2312" w:cs="Times New Roman"/>
          <w:bCs/>
          <w:color w:val="auto"/>
          <w:sz w:val="32"/>
          <w:szCs w:val="32"/>
          <w:lang w:val="en-US" w:eastAsia="zh-CN"/>
        </w:rPr>
        <w:t>由</w:t>
      </w:r>
      <w:r>
        <w:rPr>
          <w:rFonts w:hint="eastAsia" w:ascii="Times New Roman" w:hAnsi="Times New Roman" w:eastAsia="仿宋_GB2312" w:cs="Times New Roman"/>
          <w:bCs/>
          <w:color w:val="auto"/>
          <w:sz w:val="32"/>
          <w:szCs w:val="32"/>
          <w:lang w:val="en-US" w:eastAsia="zh-CN"/>
        </w:rPr>
        <w:t>3人共同回答评委问题。</w:t>
      </w:r>
    </w:p>
    <w:p w14:paraId="33968DF6">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5.路演评分、统分：参赛企业路演</w:t>
      </w:r>
      <w:r>
        <w:rPr>
          <w:rFonts w:hint="eastAsia" w:eastAsia="仿宋_GB2312" w:cs="Times New Roman"/>
          <w:bCs/>
          <w:color w:val="auto"/>
          <w:sz w:val="32"/>
          <w:szCs w:val="32"/>
          <w:lang w:val="en-US" w:eastAsia="zh-CN"/>
        </w:rPr>
        <w:t>的</w:t>
      </w:r>
      <w:r>
        <w:rPr>
          <w:rFonts w:hint="eastAsia" w:ascii="Times New Roman" w:hAnsi="Times New Roman" w:eastAsia="仿宋_GB2312" w:cs="Times New Roman"/>
          <w:bCs/>
          <w:color w:val="auto"/>
          <w:sz w:val="32"/>
          <w:szCs w:val="32"/>
          <w:lang w:val="en-US" w:eastAsia="zh-CN"/>
        </w:rPr>
        <w:t>同时评委评分，所有参赛企业完成路演后，现场统分</w:t>
      </w:r>
      <w:r>
        <w:rPr>
          <w:rFonts w:hint="eastAsia" w:eastAsia="仿宋_GB2312" w:cs="Times New Roman"/>
          <w:bCs/>
          <w:color w:val="auto"/>
          <w:sz w:val="32"/>
          <w:szCs w:val="32"/>
          <w:lang w:val="en-US" w:eastAsia="zh-CN"/>
        </w:rPr>
        <w:t>并</w:t>
      </w:r>
      <w:r>
        <w:rPr>
          <w:rFonts w:hint="eastAsia" w:ascii="Times New Roman" w:hAnsi="Times New Roman" w:eastAsia="仿宋_GB2312" w:cs="Times New Roman"/>
          <w:bCs/>
          <w:color w:val="auto"/>
          <w:sz w:val="32"/>
          <w:szCs w:val="32"/>
          <w:lang w:val="en-US" w:eastAsia="zh-CN"/>
        </w:rPr>
        <w:t>公布参赛企业得分。</w:t>
      </w:r>
    </w:p>
    <w:p w14:paraId="4934B540">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（三）</w:t>
      </w:r>
      <w:r>
        <w:rPr>
          <w:rFonts w:hint="eastAsia" w:ascii="Times New Roman" w:hAnsi="Times New Roman" w:eastAsia="楷体_GB2312" w:cs="Times New Roman"/>
          <w:bCs/>
          <w:color w:val="auto"/>
          <w:sz w:val="32"/>
          <w:szCs w:val="32"/>
          <w:lang w:val="en-US" w:eastAsia="zh-CN"/>
        </w:rPr>
        <w:t>复赛</w:t>
      </w:r>
      <w:r>
        <w:rPr>
          <w:rFonts w:hint="eastAsia" w:ascii="Times New Roman" w:hAnsi="Times New Roman" w:eastAsia="楷体_GB2312" w:cs="Times New Roman"/>
          <w:bCs/>
          <w:color w:val="auto"/>
          <w:sz w:val="32"/>
          <w:szCs w:val="32"/>
        </w:rPr>
        <w:t>评委</w:t>
      </w:r>
    </w:p>
    <w:p w14:paraId="269B7F0D">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复赛评委</w:t>
      </w:r>
      <w:r>
        <w:rPr>
          <w:rFonts w:hint="eastAsia" w:eastAsia="仿宋_GB2312" w:cs="Times New Roman"/>
          <w:bCs/>
          <w:color w:val="auto"/>
          <w:sz w:val="32"/>
          <w:szCs w:val="32"/>
          <w:lang w:val="en-US" w:eastAsia="zh-CN"/>
        </w:rPr>
        <w:t>根据参赛项目数量及行业领域随机抽取产生。</w:t>
      </w:r>
      <w:r>
        <w:rPr>
          <w:rFonts w:hint="eastAsia" w:ascii="Times New Roman" w:hAnsi="Times New Roman" w:eastAsia="仿宋_GB2312" w:cs="Times New Roman"/>
          <w:bCs/>
          <w:color w:val="auto"/>
          <w:sz w:val="32"/>
          <w:szCs w:val="32"/>
          <w:lang w:val="en-US" w:eastAsia="zh-CN"/>
        </w:rPr>
        <w:t>每场比赛5名评委，其中创投评委</w:t>
      </w:r>
      <w:r>
        <w:rPr>
          <w:rFonts w:hint="eastAsia"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名</w:t>
      </w:r>
      <w:r>
        <w:rPr>
          <w:rFonts w:hint="eastAsia" w:eastAsia="仿宋_GB2312" w:cs="Times New Roman"/>
          <w:bCs/>
          <w:color w:val="auto"/>
          <w:sz w:val="32"/>
          <w:szCs w:val="32"/>
          <w:lang w:val="en-US" w:eastAsia="zh-CN"/>
        </w:rPr>
        <w:t>，创新创业评委1名，</w:t>
      </w:r>
      <w:r>
        <w:rPr>
          <w:rFonts w:hint="eastAsia" w:ascii="Times New Roman" w:hAnsi="Times New Roman" w:eastAsia="仿宋_GB2312" w:cs="Times New Roman"/>
          <w:bCs/>
          <w:color w:val="auto"/>
          <w:sz w:val="32"/>
          <w:szCs w:val="32"/>
          <w:lang w:val="en-US" w:eastAsia="zh-CN"/>
        </w:rPr>
        <w:t>技术评委2名。</w:t>
      </w:r>
    </w:p>
    <w:p w14:paraId="34D42210">
      <w:pPr>
        <w:adjustRightInd w:val="0"/>
        <w:snapToGrid w:val="0"/>
        <w:spacing w:line="560" w:lineRule="exact"/>
        <w:ind w:firstLine="640" w:firstLineChars="200"/>
        <w:rPr>
          <w:rFonts w:eastAsia="楷体_GB2312"/>
          <w:bCs/>
          <w:color w:val="auto"/>
          <w:sz w:val="32"/>
          <w:szCs w:val="32"/>
        </w:rPr>
      </w:pPr>
      <w:r>
        <w:rPr>
          <w:rFonts w:eastAsia="楷体_GB2312"/>
          <w:bCs/>
          <w:color w:val="auto"/>
          <w:sz w:val="32"/>
          <w:szCs w:val="32"/>
        </w:rPr>
        <w:t>（</w:t>
      </w:r>
      <w:r>
        <w:rPr>
          <w:rFonts w:hint="eastAsia" w:eastAsia="楷体_GB2312"/>
          <w:bCs/>
          <w:color w:val="auto"/>
          <w:sz w:val="32"/>
          <w:szCs w:val="32"/>
          <w:lang w:val="en-US" w:eastAsia="zh-CN"/>
        </w:rPr>
        <w:t>四</w:t>
      </w:r>
      <w:r>
        <w:rPr>
          <w:rFonts w:eastAsia="楷体_GB2312"/>
          <w:bCs/>
          <w:color w:val="auto"/>
          <w:sz w:val="32"/>
          <w:szCs w:val="32"/>
        </w:rPr>
        <w:t>）评分标准</w:t>
      </w:r>
    </w:p>
    <w:p w14:paraId="65B30111">
      <w:pPr>
        <w:adjustRightInd w:val="0"/>
        <w:snapToGrid w:val="0"/>
        <w:spacing w:line="560" w:lineRule="exact"/>
        <w:ind w:firstLine="640" w:firstLineChars="200"/>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比赛评分严格按照中国创新创业大赛组委会制定的评分标准</w:t>
      </w:r>
      <w:r>
        <w:rPr>
          <w:rFonts w:hint="eastAsia" w:eastAsia="仿宋_GB2312" w:cs="Times New Roman"/>
          <w:bCs/>
          <w:color w:val="auto"/>
          <w:sz w:val="32"/>
          <w:szCs w:val="32"/>
          <w:lang w:val="en-US" w:eastAsia="zh-CN"/>
        </w:rPr>
        <w:t>进行。</w:t>
      </w:r>
      <w:r>
        <w:rPr>
          <w:rFonts w:hint="eastAsia" w:ascii="Times New Roman" w:hAnsi="Times New Roman" w:eastAsia="仿宋_GB2312" w:cs="Times New Roman"/>
          <w:bCs/>
          <w:color w:val="auto"/>
          <w:sz w:val="32"/>
          <w:szCs w:val="32"/>
          <w:lang w:val="en-US" w:eastAsia="zh-CN"/>
        </w:rPr>
        <w:t>每名评委按照评分指标打分</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并写出评价意见和建议，5名评委的平均分即为参赛企业综合得分</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最终得分保留小数点后两位</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四舍五入</w:t>
      </w:r>
      <w:r>
        <w:rPr>
          <w:rFonts w:hint="eastAsia"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 xml:space="preserve">，如出现同分并列，则取小数点后三位，以此类推。  </w:t>
      </w:r>
    </w:p>
    <w:p w14:paraId="1872FEB9">
      <w:pPr>
        <w:adjustRightInd w:val="0"/>
        <w:snapToGrid w:val="0"/>
        <w:spacing w:line="560" w:lineRule="exact"/>
        <w:ind w:firstLine="3520" w:firstLineChars="1100"/>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评</w:t>
      </w:r>
      <w:r>
        <w:rPr>
          <w:rFonts w:hint="eastAsia" w:ascii="Times New Roman" w:hAnsi="Times New Roman" w:eastAsia="楷体_GB2312" w:cs="Times New Roman"/>
          <w:bCs/>
          <w:color w:val="auto"/>
          <w:sz w:val="32"/>
          <w:szCs w:val="32"/>
          <w:lang w:val="en-US" w:eastAsia="zh-CN"/>
        </w:rPr>
        <w:t>分</w:t>
      </w:r>
      <w:r>
        <w:rPr>
          <w:rFonts w:ascii="Times New Roman" w:hAnsi="Times New Roman" w:eastAsia="楷体_GB2312" w:cs="Times New Roman"/>
          <w:bCs/>
          <w:color w:val="auto"/>
          <w:sz w:val="32"/>
          <w:szCs w:val="32"/>
        </w:rPr>
        <w:t>指标</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2552"/>
        <w:gridCol w:w="2460"/>
      </w:tblGrid>
      <w:tr w14:paraId="1858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510" w:type="dxa"/>
            <w:vAlign w:val="center"/>
          </w:tcPr>
          <w:p w14:paraId="6F8B2F04">
            <w:pPr>
              <w:spacing w:line="560" w:lineRule="exact"/>
              <w:jc w:val="center"/>
              <w:rPr>
                <w:rFonts w:eastAsia="仿宋_GB2312"/>
                <w:b/>
                <w:color w:val="auto"/>
                <w:sz w:val="32"/>
                <w:szCs w:val="32"/>
              </w:rPr>
            </w:pPr>
            <w:r>
              <w:rPr>
                <w:rFonts w:eastAsia="仿宋_GB2312"/>
                <w:b/>
                <w:color w:val="auto"/>
                <w:sz w:val="32"/>
                <w:szCs w:val="32"/>
              </w:rPr>
              <w:t>评价内容</w:t>
            </w:r>
          </w:p>
        </w:tc>
        <w:tc>
          <w:tcPr>
            <w:tcW w:w="2552" w:type="dxa"/>
            <w:vAlign w:val="center"/>
          </w:tcPr>
          <w:p w14:paraId="3945888C">
            <w:pPr>
              <w:spacing w:line="560" w:lineRule="exact"/>
              <w:jc w:val="center"/>
              <w:rPr>
                <w:rFonts w:eastAsia="仿宋_GB2312"/>
                <w:b/>
                <w:color w:val="auto"/>
                <w:sz w:val="32"/>
                <w:szCs w:val="32"/>
              </w:rPr>
            </w:pPr>
            <w:r>
              <w:rPr>
                <w:rFonts w:eastAsia="仿宋_GB2312"/>
                <w:b/>
                <w:color w:val="auto"/>
                <w:sz w:val="32"/>
                <w:szCs w:val="32"/>
              </w:rPr>
              <w:t>分值（初创组）</w:t>
            </w:r>
          </w:p>
        </w:tc>
        <w:tc>
          <w:tcPr>
            <w:tcW w:w="2460" w:type="dxa"/>
            <w:vAlign w:val="center"/>
          </w:tcPr>
          <w:p w14:paraId="13B85BD1">
            <w:pPr>
              <w:spacing w:line="560" w:lineRule="exact"/>
              <w:jc w:val="center"/>
              <w:rPr>
                <w:rFonts w:eastAsia="仿宋_GB2312"/>
                <w:b/>
                <w:color w:val="auto"/>
                <w:sz w:val="32"/>
                <w:szCs w:val="32"/>
              </w:rPr>
            </w:pPr>
            <w:r>
              <w:rPr>
                <w:rFonts w:eastAsia="仿宋_GB2312"/>
                <w:b/>
                <w:color w:val="auto"/>
                <w:sz w:val="32"/>
                <w:szCs w:val="32"/>
              </w:rPr>
              <w:t>分值（成长组）</w:t>
            </w:r>
          </w:p>
        </w:tc>
      </w:tr>
      <w:tr w14:paraId="463D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14:paraId="0D93EE6F">
            <w:pPr>
              <w:spacing w:line="560" w:lineRule="exact"/>
              <w:jc w:val="center"/>
              <w:rPr>
                <w:rFonts w:eastAsia="仿宋_GB2312"/>
                <w:b/>
                <w:color w:val="auto"/>
                <w:sz w:val="32"/>
                <w:szCs w:val="32"/>
              </w:rPr>
            </w:pPr>
            <w:r>
              <w:rPr>
                <w:rFonts w:eastAsia="仿宋_GB2312"/>
                <w:b/>
                <w:color w:val="auto"/>
                <w:sz w:val="32"/>
                <w:szCs w:val="32"/>
              </w:rPr>
              <w:t>技术和产品</w:t>
            </w:r>
          </w:p>
        </w:tc>
        <w:tc>
          <w:tcPr>
            <w:tcW w:w="2552" w:type="dxa"/>
            <w:vAlign w:val="center"/>
          </w:tcPr>
          <w:p w14:paraId="37A7B92F">
            <w:pPr>
              <w:spacing w:line="560" w:lineRule="exact"/>
              <w:jc w:val="center"/>
              <w:rPr>
                <w:rFonts w:eastAsia="仿宋_GB2312"/>
                <w:color w:val="auto"/>
                <w:sz w:val="32"/>
                <w:szCs w:val="32"/>
              </w:rPr>
            </w:pPr>
            <w:r>
              <w:rPr>
                <w:rFonts w:eastAsia="仿宋_GB2312"/>
                <w:color w:val="auto"/>
                <w:sz w:val="32"/>
                <w:szCs w:val="32"/>
              </w:rPr>
              <w:t>30</w:t>
            </w:r>
          </w:p>
        </w:tc>
        <w:tc>
          <w:tcPr>
            <w:tcW w:w="2460" w:type="dxa"/>
            <w:vAlign w:val="center"/>
          </w:tcPr>
          <w:p w14:paraId="59A5F917">
            <w:pPr>
              <w:spacing w:line="560" w:lineRule="exact"/>
              <w:jc w:val="center"/>
              <w:rPr>
                <w:rFonts w:eastAsia="仿宋_GB2312"/>
                <w:color w:val="auto"/>
                <w:sz w:val="32"/>
                <w:szCs w:val="32"/>
              </w:rPr>
            </w:pPr>
            <w:r>
              <w:rPr>
                <w:rFonts w:eastAsia="仿宋_GB2312"/>
                <w:color w:val="auto"/>
                <w:sz w:val="32"/>
                <w:szCs w:val="32"/>
              </w:rPr>
              <w:t>30</w:t>
            </w:r>
          </w:p>
        </w:tc>
      </w:tr>
      <w:tr w14:paraId="12C72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14:paraId="7A79DA0A">
            <w:pPr>
              <w:spacing w:line="560" w:lineRule="exact"/>
              <w:jc w:val="center"/>
              <w:rPr>
                <w:rFonts w:eastAsia="仿宋_GB2312"/>
                <w:b/>
                <w:color w:val="auto"/>
                <w:sz w:val="32"/>
                <w:szCs w:val="32"/>
              </w:rPr>
            </w:pPr>
            <w:r>
              <w:rPr>
                <w:rFonts w:eastAsia="仿宋_GB2312"/>
                <w:b/>
                <w:color w:val="auto"/>
                <w:sz w:val="32"/>
                <w:szCs w:val="32"/>
              </w:rPr>
              <w:t>商业模式及实施方案</w:t>
            </w:r>
          </w:p>
        </w:tc>
        <w:tc>
          <w:tcPr>
            <w:tcW w:w="2552" w:type="dxa"/>
            <w:vAlign w:val="center"/>
          </w:tcPr>
          <w:p w14:paraId="7445D031">
            <w:pPr>
              <w:spacing w:line="560" w:lineRule="exact"/>
              <w:jc w:val="center"/>
              <w:rPr>
                <w:rFonts w:eastAsia="仿宋_GB2312"/>
                <w:color w:val="auto"/>
                <w:sz w:val="32"/>
                <w:szCs w:val="32"/>
              </w:rPr>
            </w:pPr>
            <w:r>
              <w:rPr>
                <w:rFonts w:eastAsia="仿宋_GB2312"/>
                <w:color w:val="auto"/>
                <w:sz w:val="32"/>
                <w:szCs w:val="32"/>
              </w:rPr>
              <w:t>15</w:t>
            </w:r>
          </w:p>
        </w:tc>
        <w:tc>
          <w:tcPr>
            <w:tcW w:w="2460" w:type="dxa"/>
            <w:vAlign w:val="center"/>
          </w:tcPr>
          <w:p w14:paraId="1C0FC8F1">
            <w:pPr>
              <w:spacing w:line="560" w:lineRule="exact"/>
              <w:jc w:val="center"/>
              <w:rPr>
                <w:rFonts w:eastAsia="仿宋_GB2312"/>
                <w:color w:val="auto"/>
                <w:sz w:val="32"/>
                <w:szCs w:val="32"/>
              </w:rPr>
            </w:pPr>
            <w:r>
              <w:rPr>
                <w:rFonts w:eastAsia="仿宋_GB2312"/>
                <w:color w:val="auto"/>
                <w:sz w:val="32"/>
                <w:szCs w:val="32"/>
              </w:rPr>
              <w:t>15</w:t>
            </w:r>
          </w:p>
        </w:tc>
      </w:tr>
      <w:tr w14:paraId="1628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14:paraId="4B8055E3">
            <w:pPr>
              <w:spacing w:line="560" w:lineRule="exact"/>
              <w:jc w:val="center"/>
              <w:rPr>
                <w:rFonts w:eastAsia="仿宋_GB2312"/>
                <w:b/>
                <w:color w:val="auto"/>
                <w:sz w:val="32"/>
                <w:szCs w:val="32"/>
              </w:rPr>
            </w:pPr>
            <w:r>
              <w:rPr>
                <w:rFonts w:eastAsia="仿宋_GB2312"/>
                <w:b/>
                <w:color w:val="auto"/>
                <w:sz w:val="32"/>
                <w:szCs w:val="32"/>
              </w:rPr>
              <w:t>行业及市场</w:t>
            </w:r>
          </w:p>
        </w:tc>
        <w:tc>
          <w:tcPr>
            <w:tcW w:w="2552" w:type="dxa"/>
            <w:vAlign w:val="center"/>
          </w:tcPr>
          <w:p w14:paraId="2BBD558A">
            <w:pPr>
              <w:spacing w:line="560" w:lineRule="exact"/>
              <w:jc w:val="center"/>
              <w:rPr>
                <w:rFonts w:eastAsia="仿宋_GB2312"/>
                <w:color w:val="auto"/>
                <w:sz w:val="32"/>
                <w:szCs w:val="32"/>
              </w:rPr>
            </w:pPr>
            <w:r>
              <w:rPr>
                <w:rFonts w:eastAsia="仿宋_GB2312"/>
                <w:color w:val="auto"/>
                <w:sz w:val="32"/>
                <w:szCs w:val="32"/>
              </w:rPr>
              <w:t>20</w:t>
            </w:r>
          </w:p>
        </w:tc>
        <w:tc>
          <w:tcPr>
            <w:tcW w:w="2460" w:type="dxa"/>
            <w:vAlign w:val="center"/>
          </w:tcPr>
          <w:p w14:paraId="37B8AFE5">
            <w:pPr>
              <w:spacing w:line="560" w:lineRule="exact"/>
              <w:jc w:val="center"/>
              <w:rPr>
                <w:rFonts w:eastAsia="仿宋_GB2312"/>
                <w:color w:val="auto"/>
                <w:sz w:val="32"/>
                <w:szCs w:val="32"/>
              </w:rPr>
            </w:pPr>
            <w:r>
              <w:rPr>
                <w:rFonts w:eastAsia="仿宋_GB2312"/>
                <w:color w:val="auto"/>
                <w:sz w:val="32"/>
                <w:szCs w:val="32"/>
              </w:rPr>
              <w:t>20</w:t>
            </w:r>
          </w:p>
        </w:tc>
      </w:tr>
      <w:tr w14:paraId="15F3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14:paraId="1EB9AA18">
            <w:pPr>
              <w:spacing w:line="560" w:lineRule="exact"/>
              <w:jc w:val="center"/>
              <w:rPr>
                <w:rFonts w:eastAsia="仿宋_GB2312"/>
                <w:b/>
                <w:color w:val="auto"/>
                <w:sz w:val="32"/>
                <w:szCs w:val="32"/>
              </w:rPr>
            </w:pPr>
            <w:r>
              <w:rPr>
                <w:rFonts w:eastAsia="仿宋_GB2312"/>
                <w:b/>
                <w:color w:val="auto"/>
                <w:sz w:val="32"/>
                <w:szCs w:val="32"/>
              </w:rPr>
              <w:t>团队</w:t>
            </w:r>
          </w:p>
        </w:tc>
        <w:tc>
          <w:tcPr>
            <w:tcW w:w="2552" w:type="dxa"/>
            <w:vAlign w:val="center"/>
          </w:tcPr>
          <w:p w14:paraId="1F1A6286">
            <w:pPr>
              <w:spacing w:line="560" w:lineRule="exact"/>
              <w:jc w:val="center"/>
              <w:rPr>
                <w:rFonts w:eastAsia="仿宋_GB2312"/>
                <w:color w:val="auto"/>
                <w:sz w:val="32"/>
                <w:szCs w:val="32"/>
              </w:rPr>
            </w:pPr>
            <w:r>
              <w:rPr>
                <w:rFonts w:eastAsia="仿宋_GB2312"/>
                <w:color w:val="auto"/>
                <w:sz w:val="32"/>
                <w:szCs w:val="32"/>
              </w:rPr>
              <w:t>30</w:t>
            </w:r>
          </w:p>
        </w:tc>
        <w:tc>
          <w:tcPr>
            <w:tcW w:w="2460" w:type="dxa"/>
            <w:vAlign w:val="center"/>
          </w:tcPr>
          <w:p w14:paraId="29CCEF7C">
            <w:pPr>
              <w:spacing w:line="560" w:lineRule="exact"/>
              <w:jc w:val="center"/>
              <w:rPr>
                <w:rFonts w:eastAsia="仿宋_GB2312"/>
                <w:color w:val="auto"/>
                <w:sz w:val="32"/>
                <w:szCs w:val="32"/>
              </w:rPr>
            </w:pPr>
            <w:r>
              <w:rPr>
                <w:rFonts w:eastAsia="仿宋_GB2312"/>
                <w:color w:val="auto"/>
                <w:sz w:val="32"/>
                <w:szCs w:val="32"/>
              </w:rPr>
              <w:t>25</w:t>
            </w:r>
          </w:p>
        </w:tc>
      </w:tr>
      <w:tr w14:paraId="4DB8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14:paraId="4EB2675D">
            <w:pPr>
              <w:spacing w:line="560" w:lineRule="exact"/>
              <w:jc w:val="center"/>
              <w:rPr>
                <w:rFonts w:eastAsia="仿宋_GB2312"/>
                <w:b/>
                <w:color w:val="auto"/>
                <w:sz w:val="32"/>
                <w:szCs w:val="32"/>
              </w:rPr>
            </w:pPr>
            <w:r>
              <w:rPr>
                <w:rFonts w:eastAsia="仿宋_GB2312"/>
                <w:b/>
                <w:color w:val="auto"/>
                <w:sz w:val="32"/>
                <w:szCs w:val="32"/>
              </w:rPr>
              <w:t>财务分析</w:t>
            </w:r>
          </w:p>
        </w:tc>
        <w:tc>
          <w:tcPr>
            <w:tcW w:w="2552" w:type="dxa"/>
            <w:vAlign w:val="center"/>
          </w:tcPr>
          <w:p w14:paraId="0A16206C">
            <w:pPr>
              <w:spacing w:line="560" w:lineRule="exact"/>
              <w:jc w:val="center"/>
              <w:rPr>
                <w:rFonts w:eastAsia="仿宋_GB2312"/>
                <w:color w:val="auto"/>
                <w:sz w:val="32"/>
                <w:szCs w:val="32"/>
              </w:rPr>
            </w:pPr>
            <w:r>
              <w:rPr>
                <w:rFonts w:eastAsia="仿宋_GB2312"/>
                <w:color w:val="auto"/>
                <w:sz w:val="32"/>
                <w:szCs w:val="32"/>
              </w:rPr>
              <w:t>5</w:t>
            </w:r>
          </w:p>
        </w:tc>
        <w:tc>
          <w:tcPr>
            <w:tcW w:w="2460" w:type="dxa"/>
            <w:vAlign w:val="center"/>
          </w:tcPr>
          <w:p w14:paraId="168DBB74">
            <w:pPr>
              <w:spacing w:line="560" w:lineRule="exact"/>
              <w:jc w:val="center"/>
              <w:rPr>
                <w:rFonts w:eastAsia="仿宋_GB2312"/>
                <w:color w:val="auto"/>
                <w:sz w:val="32"/>
                <w:szCs w:val="32"/>
              </w:rPr>
            </w:pPr>
            <w:r>
              <w:rPr>
                <w:rFonts w:eastAsia="仿宋_GB2312"/>
                <w:color w:val="auto"/>
                <w:sz w:val="32"/>
                <w:szCs w:val="32"/>
              </w:rPr>
              <w:t>10</w:t>
            </w:r>
          </w:p>
        </w:tc>
      </w:tr>
    </w:tbl>
    <w:p w14:paraId="4555F3C0">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w:t>
      </w:r>
      <w:r>
        <w:rPr>
          <w:rFonts w:hint="eastAsia" w:ascii="Times New Roman" w:hAnsi="Times New Roman" w:eastAsia="楷体_GB2312" w:cs="Times New Roman"/>
          <w:bCs/>
          <w:color w:val="auto"/>
          <w:sz w:val="32"/>
          <w:szCs w:val="32"/>
          <w:lang w:val="en-US" w:eastAsia="zh-CN"/>
        </w:rPr>
        <w:t>五</w:t>
      </w:r>
      <w:r>
        <w:rPr>
          <w:rFonts w:hint="eastAsia" w:ascii="Times New Roman" w:hAnsi="Times New Roman" w:eastAsia="楷体_GB2312" w:cs="Times New Roman"/>
          <w:bCs/>
          <w:color w:val="auto"/>
          <w:sz w:val="32"/>
          <w:szCs w:val="32"/>
        </w:rPr>
        <w:t>）奖项设置</w:t>
      </w:r>
    </w:p>
    <w:p w14:paraId="1E10AD2F">
      <w:pPr>
        <w:adjustRightInd w:val="0"/>
        <w:snapToGrid w:val="0"/>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rPr>
        <w:t>每场复赛前</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名给予奖金奖励</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奖金</w:t>
      </w:r>
      <w:r>
        <w:rPr>
          <w:rFonts w:hint="eastAsia" w:ascii="Times New Roman" w:hAnsi="Times New Roman" w:eastAsia="仿宋_GB2312" w:cs="Times New Roman"/>
          <w:color w:val="auto"/>
          <w:sz w:val="32"/>
          <w:szCs w:val="32"/>
        </w:rPr>
        <w:t>由复赛执行单位筹措安排。</w:t>
      </w:r>
    </w:p>
    <w:p w14:paraId="529D9BFA">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w:t>
      </w:r>
      <w:r>
        <w:rPr>
          <w:rFonts w:hint="eastAsia" w:ascii="Times New Roman" w:hAnsi="Times New Roman" w:eastAsia="楷体_GB2312" w:cs="Times New Roman"/>
          <w:bCs/>
          <w:color w:val="auto"/>
          <w:sz w:val="32"/>
          <w:szCs w:val="32"/>
          <w:lang w:val="en-US" w:eastAsia="zh-CN"/>
        </w:rPr>
        <w:t>六</w:t>
      </w:r>
      <w:r>
        <w:rPr>
          <w:rFonts w:hint="eastAsia" w:ascii="Times New Roman" w:hAnsi="Times New Roman" w:eastAsia="楷体_GB2312" w:cs="Times New Roman"/>
          <w:bCs/>
          <w:color w:val="auto"/>
          <w:sz w:val="32"/>
          <w:szCs w:val="32"/>
        </w:rPr>
        <w:t>）晋级原则</w:t>
      </w:r>
    </w:p>
    <w:p w14:paraId="666FC4B9">
      <w:pPr>
        <w:adjustRightInd w:val="0"/>
        <w:snapToGrid w:val="0"/>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参赛企业</w:t>
      </w:r>
      <w:r>
        <w:rPr>
          <w:rFonts w:hint="eastAsia" w:eastAsia="仿宋_GB2312" w:cs="Times New Roman"/>
          <w:color w:val="auto"/>
          <w:sz w:val="32"/>
          <w:szCs w:val="32"/>
          <w:lang w:val="en-US" w:eastAsia="zh-CN"/>
        </w:rPr>
        <w:t>不超过</w:t>
      </w:r>
      <w:r>
        <w:rPr>
          <w:rFonts w:hint="eastAsia" w:ascii="Times New Roman" w:hAnsi="Times New Roman" w:eastAsia="仿宋_GB2312" w:cs="Times New Roman"/>
          <w:color w:val="auto"/>
          <w:sz w:val="32"/>
          <w:szCs w:val="32"/>
          <w:lang w:val="en-US" w:eastAsia="zh-CN"/>
        </w:rPr>
        <w:t>10家（含）</w:t>
      </w:r>
      <w:r>
        <w:rPr>
          <w:rFonts w:hint="eastAsia" w:eastAsia="仿宋_GB2312" w:cs="Times New Roman"/>
          <w:color w:val="auto"/>
          <w:sz w:val="32"/>
          <w:szCs w:val="32"/>
          <w:lang w:val="en-US" w:eastAsia="zh-CN"/>
        </w:rPr>
        <w:t>的场次</w:t>
      </w:r>
      <w:r>
        <w:rPr>
          <w:rFonts w:hint="eastAsia" w:ascii="Times New Roman" w:hAnsi="Times New Roman" w:eastAsia="仿宋_GB2312" w:cs="Times New Roman"/>
          <w:color w:val="auto"/>
          <w:sz w:val="32"/>
          <w:szCs w:val="32"/>
          <w:lang w:val="en-US" w:eastAsia="zh-CN"/>
        </w:rPr>
        <w:t>，得分排名前</w:t>
      </w:r>
      <w:r>
        <w:rPr>
          <w:rFonts w:hint="eastAsia"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的企业晋级决赛，参赛企业数量每增加3家，则增加1</w:t>
      </w:r>
      <w:r>
        <w:rPr>
          <w:rFonts w:hint="eastAsia"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晋级名额。</w:t>
      </w:r>
    </w:p>
    <w:p w14:paraId="08BE23C6">
      <w:pPr>
        <w:adjustRightInd w:val="0"/>
        <w:snapToGrid w:val="0"/>
        <w:spacing w:line="560" w:lineRule="exact"/>
        <w:ind w:firstLine="640" w:firstLineChars="200"/>
        <w:rPr>
          <w:rFonts w:hint="eastAsia" w:ascii="Times New Roman" w:hAnsi="Times New Roman" w:eastAsia="楷体_GB2312" w:cs="Times New Roman"/>
          <w:bCs/>
          <w:color w:val="auto"/>
          <w:sz w:val="32"/>
          <w:szCs w:val="32"/>
        </w:rPr>
      </w:pPr>
      <w:r>
        <w:rPr>
          <w:rFonts w:hint="eastAsia" w:ascii="Times New Roman" w:hAnsi="Times New Roman" w:eastAsia="楷体_GB2312" w:cs="Times New Roman"/>
          <w:bCs/>
          <w:color w:val="auto"/>
          <w:sz w:val="32"/>
          <w:szCs w:val="32"/>
        </w:rPr>
        <w:t>（</w:t>
      </w:r>
      <w:r>
        <w:rPr>
          <w:rFonts w:hint="eastAsia" w:ascii="Times New Roman" w:hAnsi="Times New Roman" w:eastAsia="楷体_GB2312" w:cs="Times New Roman"/>
          <w:bCs/>
          <w:color w:val="auto"/>
          <w:sz w:val="32"/>
          <w:szCs w:val="32"/>
          <w:lang w:val="en-US" w:eastAsia="zh-CN"/>
        </w:rPr>
        <w:t>七</w:t>
      </w:r>
      <w:r>
        <w:rPr>
          <w:rFonts w:hint="eastAsia" w:ascii="Times New Roman" w:hAnsi="Times New Roman" w:eastAsia="楷体_GB2312" w:cs="Times New Roman"/>
          <w:bCs/>
          <w:color w:val="auto"/>
          <w:sz w:val="32"/>
          <w:szCs w:val="32"/>
        </w:rPr>
        <w:t>）宣传工作</w:t>
      </w:r>
    </w:p>
    <w:p w14:paraId="5AB4AAA4">
      <w:pPr>
        <w:adjustRightInd w:val="0"/>
        <w:snapToGrid w:val="0"/>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省科技厅统筹组织媒体做好复赛赛事活动宣传报道。</w:t>
      </w:r>
    </w:p>
    <w:p w14:paraId="33F11B87">
      <w:pPr>
        <w:adjustRightInd w:val="0"/>
        <w:snapToGrid w:val="0"/>
        <w:spacing w:line="560" w:lineRule="exact"/>
        <w:ind w:firstLine="640" w:firstLineChars="200"/>
        <w:rPr>
          <w:rFonts w:eastAsia="黑体"/>
          <w:bCs/>
          <w:color w:val="auto"/>
          <w:sz w:val="32"/>
          <w:szCs w:val="32"/>
        </w:rPr>
      </w:pPr>
      <w:r>
        <w:rPr>
          <w:rFonts w:eastAsia="黑体"/>
          <w:bCs/>
          <w:color w:val="auto"/>
          <w:sz w:val="32"/>
          <w:szCs w:val="32"/>
        </w:rPr>
        <w:t>四、工作要求</w:t>
      </w:r>
    </w:p>
    <w:p w14:paraId="286F7C14">
      <w:pPr>
        <w:adjustRightInd w:val="0"/>
        <w:snapToGrid w:val="0"/>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（一）各分赛场制定执行方案报大赛执委会办公室审定</w:t>
      </w:r>
      <w:r>
        <w:rPr>
          <w:rFonts w:hint="eastAsia" w:ascii="Times New Roman" w:hAnsi="Times New Roman" w:eastAsia="仿宋_GB2312" w:cs="Times New Roman"/>
          <w:color w:val="auto"/>
          <w:sz w:val="32"/>
          <w:szCs w:val="32"/>
          <w:lang w:val="en-US" w:eastAsia="zh-CN"/>
        </w:rPr>
        <w:t>后执行</w:t>
      </w:r>
      <w:r>
        <w:rPr>
          <w:rFonts w:hint="eastAsia" w:ascii="Times New Roman" w:hAnsi="Times New Roman" w:eastAsia="仿宋_GB2312" w:cs="Times New Roman"/>
          <w:color w:val="auto"/>
          <w:sz w:val="32"/>
          <w:szCs w:val="32"/>
        </w:rPr>
        <w:t>。</w:t>
      </w:r>
    </w:p>
    <w:p w14:paraId="3AEFE09C">
      <w:pPr>
        <w:adjustRightInd w:val="0"/>
        <w:snapToGrid w:val="0"/>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（二）复赛形象氛围由大赛执委会办公室统一设计，各分赛场执行单位可在不改变统一设计的情况下，增加与本场复赛相适应的个性化元素，报大赛执委会办公室审定</w:t>
      </w:r>
      <w:r>
        <w:rPr>
          <w:rFonts w:hint="eastAsia" w:ascii="Times New Roman" w:hAnsi="Times New Roman" w:eastAsia="仿宋_GB2312" w:cs="Times New Roman"/>
          <w:color w:val="auto"/>
          <w:sz w:val="32"/>
          <w:szCs w:val="32"/>
          <w:lang w:val="en-US" w:eastAsia="zh-CN"/>
        </w:rPr>
        <w:t>后应用</w:t>
      </w:r>
      <w:r>
        <w:rPr>
          <w:rFonts w:hint="eastAsia" w:ascii="Times New Roman" w:hAnsi="Times New Roman" w:eastAsia="仿宋_GB2312" w:cs="Times New Roman"/>
          <w:color w:val="auto"/>
          <w:sz w:val="32"/>
          <w:szCs w:val="32"/>
        </w:rPr>
        <w:t>。</w:t>
      </w:r>
    </w:p>
    <w:p w14:paraId="11CC1468">
      <w:pPr>
        <w:adjustRightInd w:val="0"/>
        <w:snapToGrid w:val="0"/>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（三）各分赛场执行单位负责</w:t>
      </w:r>
      <w:r>
        <w:rPr>
          <w:rFonts w:hint="eastAsia"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rPr>
        <w:t>分赛场的执行相关工作，包括赛场布置及氛围搭建、物料准备、参赛企业通知及资料（路演PPT及电子版商业计划书）收集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媒体宣传等</w:t>
      </w:r>
      <w:r>
        <w:rPr>
          <w:rFonts w:hint="eastAsia" w:ascii="Times New Roman" w:hAnsi="Times New Roman" w:eastAsia="仿宋_GB2312" w:cs="Times New Roman"/>
          <w:color w:val="auto"/>
          <w:sz w:val="32"/>
          <w:szCs w:val="32"/>
        </w:rPr>
        <w:t>。</w:t>
      </w:r>
    </w:p>
    <w:p w14:paraId="5E39AEF7">
      <w:pPr>
        <w:topLinePunct/>
        <w:adjustRightInd w:val="0"/>
        <w:snapToGrid w:val="0"/>
        <w:spacing w:line="560" w:lineRule="exact"/>
        <w:ind w:firstLine="640" w:firstLineChars="200"/>
        <w:rPr>
          <w:rFonts w:eastAsia="仿宋_GB2312"/>
          <w:color w:val="auto"/>
          <w:sz w:val="32"/>
          <w:szCs w:val="32"/>
        </w:rPr>
      </w:pPr>
      <w:r>
        <w:rPr>
          <w:rFonts w:eastAsia="仿宋_GB2312"/>
          <w:color w:val="auto"/>
          <w:sz w:val="32"/>
          <w:szCs w:val="32"/>
        </w:rPr>
        <w:t>（四）</w:t>
      </w:r>
      <w:r>
        <w:rPr>
          <w:rFonts w:hint="eastAsia" w:eastAsia="仿宋_GB2312"/>
          <w:color w:val="auto"/>
          <w:sz w:val="32"/>
          <w:szCs w:val="32"/>
        </w:rPr>
        <w:t>如参赛企业弃赛，</w:t>
      </w:r>
      <w:r>
        <w:rPr>
          <w:rFonts w:hint="eastAsia" w:eastAsia="仿宋_GB2312"/>
          <w:color w:val="auto"/>
          <w:sz w:val="32"/>
          <w:szCs w:val="32"/>
          <w:lang w:eastAsia="zh-CN"/>
        </w:rPr>
        <w:t>需由参赛企业</w:t>
      </w:r>
      <w:r>
        <w:rPr>
          <w:rFonts w:hint="eastAsia" w:eastAsia="仿宋_GB2312"/>
          <w:color w:val="auto"/>
          <w:sz w:val="32"/>
          <w:szCs w:val="32"/>
        </w:rPr>
        <w:t>提交弃赛说明并</w:t>
      </w:r>
      <w:r>
        <w:rPr>
          <w:rFonts w:hint="eastAsia" w:eastAsia="仿宋_GB2312"/>
          <w:color w:val="auto"/>
          <w:sz w:val="32"/>
          <w:szCs w:val="32"/>
          <w:lang w:eastAsia="zh-CN"/>
        </w:rPr>
        <w:t>加</w:t>
      </w:r>
      <w:r>
        <w:rPr>
          <w:rFonts w:hint="eastAsia" w:eastAsia="仿宋_GB2312"/>
          <w:color w:val="auto"/>
          <w:sz w:val="32"/>
          <w:szCs w:val="32"/>
        </w:rPr>
        <w:t>盖公章。</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01A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1BC1B3">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71BC1B3">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5C62"/>
    <w:multiLevelType w:val="singleLevel"/>
    <w:tmpl w:val="89E65C62"/>
    <w:lvl w:ilvl="0" w:tentative="0">
      <w:start w:val="2"/>
      <w:numFmt w:val="chineseCounting"/>
      <w:suff w:val="nothing"/>
      <w:lvlText w:val="（%1）"/>
      <w:lvlJc w:val="left"/>
      <w:pPr>
        <w:ind w:left="640" w:leftChars="0" w:firstLine="0" w:firstLineChars="0"/>
      </w:pPr>
      <w:rPr>
        <w:rFonts w:hint="eastAsia"/>
      </w:rPr>
    </w:lvl>
  </w:abstractNum>
  <w:abstractNum w:abstractNumId="1">
    <w:nsid w:val="0000000A"/>
    <w:multiLevelType w:val="multilevel"/>
    <w:tmpl w:val="0000000A"/>
    <w:lvl w:ilvl="0" w:tentative="0">
      <w:start w:val="1"/>
      <w:numFmt w:val="japaneseCounting"/>
      <w:pStyle w:val="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jY5ODkyMmQ0ZmZkNDA5YTljMzYxZGY4MWQ1NmUifQ=="/>
  </w:docVars>
  <w:rsids>
    <w:rsidRoot w:val="00F5390B"/>
    <w:rsid w:val="00015940"/>
    <w:rsid w:val="00053309"/>
    <w:rsid w:val="00062B13"/>
    <w:rsid w:val="00065D02"/>
    <w:rsid w:val="000967B4"/>
    <w:rsid w:val="000D5DEB"/>
    <w:rsid w:val="000E1D32"/>
    <w:rsid w:val="000E4A35"/>
    <w:rsid w:val="00116A4E"/>
    <w:rsid w:val="00145B26"/>
    <w:rsid w:val="001631EA"/>
    <w:rsid w:val="0017659E"/>
    <w:rsid w:val="001800A9"/>
    <w:rsid w:val="001A5014"/>
    <w:rsid w:val="00235BC8"/>
    <w:rsid w:val="00252B8E"/>
    <w:rsid w:val="002568B4"/>
    <w:rsid w:val="002671EB"/>
    <w:rsid w:val="00294C29"/>
    <w:rsid w:val="002A03BC"/>
    <w:rsid w:val="003018CA"/>
    <w:rsid w:val="00304493"/>
    <w:rsid w:val="003462BA"/>
    <w:rsid w:val="00360A76"/>
    <w:rsid w:val="003614BE"/>
    <w:rsid w:val="00367B96"/>
    <w:rsid w:val="0039363A"/>
    <w:rsid w:val="003A2225"/>
    <w:rsid w:val="003A5212"/>
    <w:rsid w:val="003C56F0"/>
    <w:rsid w:val="003D3A5E"/>
    <w:rsid w:val="00480EA6"/>
    <w:rsid w:val="004952D3"/>
    <w:rsid w:val="005160C2"/>
    <w:rsid w:val="00527665"/>
    <w:rsid w:val="0056093D"/>
    <w:rsid w:val="005E2738"/>
    <w:rsid w:val="005E76E8"/>
    <w:rsid w:val="006051F8"/>
    <w:rsid w:val="00611195"/>
    <w:rsid w:val="006232C9"/>
    <w:rsid w:val="00641C90"/>
    <w:rsid w:val="00683BA7"/>
    <w:rsid w:val="00683EBF"/>
    <w:rsid w:val="006920C6"/>
    <w:rsid w:val="00695964"/>
    <w:rsid w:val="006E3CC5"/>
    <w:rsid w:val="007367AB"/>
    <w:rsid w:val="007751FD"/>
    <w:rsid w:val="007941EC"/>
    <w:rsid w:val="007D124D"/>
    <w:rsid w:val="007E177C"/>
    <w:rsid w:val="007F7DBA"/>
    <w:rsid w:val="0080095C"/>
    <w:rsid w:val="00813DCC"/>
    <w:rsid w:val="008613EE"/>
    <w:rsid w:val="00891F6D"/>
    <w:rsid w:val="008961D2"/>
    <w:rsid w:val="008A7F13"/>
    <w:rsid w:val="008B5976"/>
    <w:rsid w:val="008B6222"/>
    <w:rsid w:val="0093558F"/>
    <w:rsid w:val="00937A73"/>
    <w:rsid w:val="0095213F"/>
    <w:rsid w:val="00963F96"/>
    <w:rsid w:val="0099328E"/>
    <w:rsid w:val="00A434C0"/>
    <w:rsid w:val="00A70A24"/>
    <w:rsid w:val="00A75EB7"/>
    <w:rsid w:val="00A83725"/>
    <w:rsid w:val="00A861C6"/>
    <w:rsid w:val="00A86212"/>
    <w:rsid w:val="00A86258"/>
    <w:rsid w:val="00AA6DBF"/>
    <w:rsid w:val="00AA751D"/>
    <w:rsid w:val="00AE04AA"/>
    <w:rsid w:val="00B01B3D"/>
    <w:rsid w:val="00B27A9F"/>
    <w:rsid w:val="00B326AF"/>
    <w:rsid w:val="00B32A79"/>
    <w:rsid w:val="00B37161"/>
    <w:rsid w:val="00B51DAF"/>
    <w:rsid w:val="00B55156"/>
    <w:rsid w:val="00B55F0F"/>
    <w:rsid w:val="00B56E72"/>
    <w:rsid w:val="00B85633"/>
    <w:rsid w:val="00BC4303"/>
    <w:rsid w:val="00BE49A9"/>
    <w:rsid w:val="00BF1E9C"/>
    <w:rsid w:val="00CC3E32"/>
    <w:rsid w:val="00CC5A59"/>
    <w:rsid w:val="00CC72F5"/>
    <w:rsid w:val="00CD3117"/>
    <w:rsid w:val="00CE0D21"/>
    <w:rsid w:val="00D11DD3"/>
    <w:rsid w:val="00D21A1A"/>
    <w:rsid w:val="00D220B7"/>
    <w:rsid w:val="00D7774B"/>
    <w:rsid w:val="00DA16A8"/>
    <w:rsid w:val="00DD1299"/>
    <w:rsid w:val="00DD2CB0"/>
    <w:rsid w:val="00DE40E9"/>
    <w:rsid w:val="00F277EC"/>
    <w:rsid w:val="00F40A30"/>
    <w:rsid w:val="00F5390B"/>
    <w:rsid w:val="00F57C04"/>
    <w:rsid w:val="00F84F80"/>
    <w:rsid w:val="00F91232"/>
    <w:rsid w:val="00FC1293"/>
    <w:rsid w:val="00FD64E6"/>
    <w:rsid w:val="01A15D0B"/>
    <w:rsid w:val="01BE366D"/>
    <w:rsid w:val="0343738E"/>
    <w:rsid w:val="03B0260B"/>
    <w:rsid w:val="03B6406A"/>
    <w:rsid w:val="0423037B"/>
    <w:rsid w:val="04560A24"/>
    <w:rsid w:val="04DA3651"/>
    <w:rsid w:val="05A07F72"/>
    <w:rsid w:val="08237ABB"/>
    <w:rsid w:val="08786D7E"/>
    <w:rsid w:val="0889426C"/>
    <w:rsid w:val="08A15821"/>
    <w:rsid w:val="098A6D52"/>
    <w:rsid w:val="09A70F1E"/>
    <w:rsid w:val="09B37392"/>
    <w:rsid w:val="0A202DB0"/>
    <w:rsid w:val="0AD56499"/>
    <w:rsid w:val="0AEC38FE"/>
    <w:rsid w:val="0EFA7D16"/>
    <w:rsid w:val="0FFF4093"/>
    <w:rsid w:val="10151FC8"/>
    <w:rsid w:val="10262C63"/>
    <w:rsid w:val="117B2DDA"/>
    <w:rsid w:val="119F504B"/>
    <w:rsid w:val="11AB1672"/>
    <w:rsid w:val="132C7AAB"/>
    <w:rsid w:val="13AC2B62"/>
    <w:rsid w:val="151E6844"/>
    <w:rsid w:val="18893488"/>
    <w:rsid w:val="18CB25F9"/>
    <w:rsid w:val="19480D26"/>
    <w:rsid w:val="196726D2"/>
    <w:rsid w:val="1A346C00"/>
    <w:rsid w:val="1B070BBF"/>
    <w:rsid w:val="1B6507F5"/>
    <w:rsid w:val="1CA00B1C"/>
    <w:rsid w:val="1E82467D"/>
    <w:rsid w:val="1F0054A9"/>
    <w:rsid w:val="1F271157"/>
    <w:rsid w:val="1FAA11BB"/>
    <w:rsid w:val="20AC77F5"/>
    <w:rsid w:val="20B87907"/>
    <w:rsid w:val="20DA655D"/>
    <w:rsid w:val="20F92EDD"/>
    <w:rsid w:val="21E37D24"/>
    <w:rsid w:val="234600CC"/>
    <w:rsid w:val="23C9422B"/>
    <w:rsid w:val="23CA5EE6"/>
    <w:rsid w:val="24273909"/>
    <w:rsid w:val="24E346A1"/>
    <w:rsid w:val="25534C45"/>
    <w:rsid w:val="26A6537C"/>
    <w:rsid w:val="294B0FB6"/>
    <w:rsid w:val="2B7D6CD5"/>
    <w:rsid w:val="2CC35464"/>
    <w:rsid w:val="2E935510"/>
    <w:rsid w:val="2F8262AA"/>
    <w:rsid w:val="30C60A38"/>
    <w:rsid w:val="31101099"/>
    <w:rsid w:val="314263A3"/>
    <w:rsid w:val="31B55483"/>
    <w:rsid w:val="32AC7DAB"/>
    <w:rsid w:val="32EE540A"/>
    <w:rsid w:val="33105E73"/>
    <w:rsid w:val="33860260"/>
    <w:rsid w:val="33F1162C"/>
    <w:rsid w:val="344735E4"/>
    <w:rsid w:val="348C0A37"/>
    <w:rsid w:val="34FB369C"/>
    <w:rsid w:val="358C5420"/>
    <w:rsid w:val="35DC7BCF"/>
    <w:rsid w:val="372611C0"/>
    <w:rsid w:val="38192309"/>
    <w:rsid w:val="382B700A"/>
    <w:rsid w:val="390B5420"/>
    <w:rsid w:val="391A320D"/>
    <w:rsid w:val="395B4FBE"/>
    <w:rsid w:val="398B2723"/>
    <w:rsid w:val="39BF466A"/>
    <w:rsid w:val="39EE6F59"/>
    <w:rsid w:val="39F257E0"/>
    <w:rsid w:val="39FF63D6"/>
    <w:rsid w:val="3B1B0C18"/>
    <w:rsid w:val="3C700251"/>
    <w:rsid w:val="3C7D6B4A"/>
    <w:rsid w:val="3CFB7C95"/>
    <w:rsid w:val="3E337701"/>
    <w:rsid w:val="3FCB7365"/>
    <w:rsid w:val="40125790"/>
    <w:rsid w:val="41420DD5"/>
    <w:rsid w:val="414C53D2"/>
    <w:rsid w:val="41541E85"/>
    <w:rsid w:val="41DF6C07"/>
    <w:rsid w:val="41F45E6E"/>
    <w:rsid w:val="42780C99"/>
    <w:rsid w:val="439E6F77"/>
    <w:rsid w:val="43CE12DD"/>
    <w:rsid w:val="43D877F5"/>
    <w:rsid w:val="45A91EFB"/>
    <w:rsid w:val="45B63B66"/>
    <w:rsid w:val="462F67B4"/>
    <w:rsid w:val="4897712B"/>
    <w:rsid w:val="498B70B7"/>
    <w:rsid w:val="4A2F4EC1"/>
    <w:rsid w:val="4B274F95"/>
    <w:rsid w:val="4B6E4EE3"/>
    <w:rsid w:val="4B915029"/>
    <w:rsid w:val="4BFF5B3B"/>
    <w:rsid w:val="4D4C3C02"/>
    <w:rsid w:val="4E7846D4"/>
    <w:rsid w:val="4FAB49CD"/>
    <w:rsid w:val="4FEF275B"/>
    <w:rsid w:val="501A08ED"/>
    <w:rsid w:val="51AD3772"/>
    <w:rsid w:val="52027317"/>
    <w:rsid w:val="52593ABB"/>
    <w:rsid w:val="537314F8"/>
    <w:rsid w:val="53753C51"/>
    <w:rsid w:val="5387607D"/>
    <w:rsid w:val="549B6FF0"/>
    <w:rsid w:val="55EB09B2"/>
    <w:rsid w:val="56352EF5"/>
    <w:rsid w:val="564A120B"/>
    <w:rsid w:val="564B78F9"/>
    <w:rsid w:val="56AD626C"/>
    <w:rsid w:val="56D835A7"/>
    <w:rsid w:val="57207D33"/>
    <w:rsid w:val="57CF6D09"/>
    <w:rsid w:val="57D073C2"/>
    <w:rsid w:val="58BB45E9"/>
    <w:rsid w:val="593B7B18"/>
    <w:rsid w:val="59CC0D4E"/>
    <w:rsid w:val="59F05FF1"/>
    <w:rsid w:val="5A06098D"/>
    <w:rsid w:val="5A370927"/>
    <w:rsid w:val="5A8777F1"/>
    <w:rsid w:val="5AA21D67"/>
    <w:rsid w:val="5AE431DF"/>
    <w:rsid w:val="5BCF24D0"/>
    <w:rsid w:val="5C2C67C7"/>
    <w:rsid w:val="5DE56A37"/>
    <w:rsid w:val="5F653D37"/>
    <w:rsid w:val="5FA3091E"/>
    <w:rsid w:val="5FFF8FCD"/>
    <w:rsid w:val="60EE0F5A"/>
    <w:rsid w:val="61477910"/>
    <w:rsid w:val="61D013EB"/>
    <w:rsid w:val="62126CF0"/>
    <w:rsid w:val="629C0308"/>
    <w:rsid w:val="63F20007"/>
    <w:rsid w:val="65370A60"/>
    <w:rsid w:val="673062C4"/>
    <w:rsid w:val="67535261"/>
    <w:rsid w:val="682C0647"/>
    <w:rsid w:val="684752C1"/>
    <w:rsid w:val="6874524B"/>
    <w:rsid w:val="69D50F67"/>
    <w:rsid w:val="6A5E17C6"/>
    <w:rsid w:val="6B090FAF"/>
    <w:rsid w:val="6C746E30"/>
    <w:rsid w:val="6DB97DE8"/>
    <w:rsid w:val="6F073E60"/>
    <w:rsid w:val="6FAB73C4"/>
    <w:rsid w:val="6FAC19B2"/>
    <w:rsid w:val="702A739B"/>
    <w:rsid w:val="70BD0ACA"/>
    <w:rsid w:val="7183431D"/>
    <w:rsid w:val="73821767"/>
    <w:rsid w:val="73ED6B4D"/>
    <w:rsid w:val="74073BD5"/>
    <w:rsid w:val="777F6DF2"/>
    <w:rsid w:val="782E2AFF"/>
    <w:rsid w:val="7872406B"/>
    <w:rsid w:val="798F4A43"/>
    <w:rsid w:val="7A5A304A"/>
    <w:rsid w:val="7AC315C1"/>
    <w:rsid w:val="7F437511"/>
    <w:rsid w:val="7FFBF46A"/>
    <w:rsid w:val="BDEEB12B"/>
    <w:rsid w:val="DEFEF8A7"/>
    <w:rsid w:val="DFF75C0F"/>
    <w:rsid w:val="E35764F4"/>
    <w:rsid w:val="F5BB2CB6"/>
    <w:rsid w:val="FEFB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宋体" w:cs="Times New Roman"/>
    </w:r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Arial" w:hAnsi="Arial"/>
      <w:b/>
      <w:sz w:val="32"/>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Char Char1"/>
    <w:basedOn w:val="1"/>
    <w:qFormat/>
    <w:uiPriority w:val="0"/>
    <w:pPr>
      <w:numPr>
        <w:ilvl w:val="0"/>
        <w:numId w:val="1"/>
      </w:numPr>
    </w:pPr>
  </w:style>
  <w:style w:type="character" w:customStyle="1" w:styleId="10">
    <w:name w:val="页脚 Char"/>
    <w:basedOn w:val="8"/>
    <w:link w:val="3"/>
    <w:qFormat/>
    <w:uiPriority w:val="0"/>
    <w:rPr>
      <w:rFonts w:ascii="Times New Roman" w:hAnsi="Times New Roman" w:eastAsia="宋体" w:cs="Times New Roman"/>
      <w:sz w:val="18"/>
    </w:rPr>
  </w:style>
  <w:style w:type="character" w:customStyle="1" w:styleId="11">
    <w:name w:val="页眉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1568</Words>
  <Characters>1620</Characters>
  <Lines>10</Lines>
  <Paragraphs>2</Paragraphs>
  <TotalTime>31</TotalTime>
  <ScaleCrop>false</ScaleCrop>
  <LinksUpToDate>false</LinksUpToDate>
  <CharactersWithSpaces>1625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2019-08-16T11:11:00Z</dcterms:created>
  <dc:creator>Administrator</dc:creator>
  <cp:lastModifiedBy>嚴民</cp:lastModifiedBy>
  <cp:lastPrinted>2017-08-13T02:19:00Z</cp:lastPrinted>
  <dcterms:modified xsi:type="dcterms:W3CDTF">2025-08-05T08:08:07Z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B53101C567944B0A9F7D0932B24F6E10_13</vt:lpwstr>
  </property>
  <property fmtid="{D5CDD505-2E9C-101B-9397-08002B2CF9AE}" pid="4" name="KSOTemplateDocerSaveRecord">
    <vt:lpwstr>eyJoZGlkIjoiMzA3ZjY5ODkyMmQ0ZmZkNDA5YTljMzYxZGY4MWQ1NmUiLCJ1c2VySWQiOiI3MDI4MzU1NjIifQ==</vt:lpwstr>
  </property>
</Properties>
</file>