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贵州省新能源动力电池关键材料研发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技术榜单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破解贵州省新能源动力电池关键材料产业发展难题，针对产业链的痛点、卡点、堵点，集成各类创新资源，促进各创新主体与企业形成合力，集中力量攻克一批关键核心技术，有序推进贵州省新能源动力电池关键材料产业结构优化升级，着力筑牢产业基础，构建现代化新能源动力电池及材料产业体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推动新能源动力电池及材料研发生产基地高质量发展</w:t>
      </w:r>
      <w:r>
        <w:rPr>
          <w:rFonts w:hint="eastAsia" w:eastAsia="仿宋_GB2312" w:cs="Times New Roman"/>
          <w:sz w:val="32"/>
          <w:szCs w:val="32"/>
          <w:lang w:eastAsia="zh-CN"/>
        </w:rPr>
        <w:t>，特制定本榜单。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1：电池正极前驱体材料产业化关键技术研究及应用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研究内容：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以开发成本低、结构稳定性好的超高镍低钴/无钴正极前驱体材料为目标，优化设计高镍前驱体材料合成工艺，研究高镍前驱体材料形态结构可控制备技术，研究材料加工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性能关系，研究高镍前驱体材料产业化制备关键技术及装备优化。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开发高能量密度、低制造成本、长循环寿命钠离子电池正极前驱体材料为目标，优化设计钠离子电池正极前驱体材料结构及合成工艺，研究不同掺杂元素、不同掺杂位点对前驱体材料容量和循环寿命的影响，研究包覆、掺杂及结构对前驱体材料稳定性和倍率性能的影响，开发电化学性能优异的系列钠离子电池前驱体材料，并研究其产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制备关键技术及装备。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考核指标：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" w:eastAsia="zh-CN"/>
        </w:rPr>
        <w:t>1.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成果产出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制备的超高镍低钴/无钴正极前驱体材料产品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处于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镍含量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90%，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含量≤5%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晶体结构致密，振实密度≥2.1g/cm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，D50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=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.5±1.5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µm，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比表面积为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6-15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/g；制备的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正极材料</w:t>
      </w:r>
      <w:r>
        <w:rPr>
          <w:rFonts w:hint="eastAsia" w:eastAsia="仿宋_GB2312" w:cs="Times New Roman"/>
          <w:sz w:val="32"/>
          <w:szCs w:val="32"/>
          <w:lang w:eastAsia="zh-CN"/>
        </w:rPr>
        <w:t>质量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容量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扣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，0.1C）≥2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0mAh/g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1C条件下循环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容量保持率≥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安全性符合相关国家标准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制备的钠离子电池前驱体材料产品优于行业标准，晶体结构致密，振实密度≥1.7 g/cm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，杂质含量≤200ppm，D50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=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.5±1.5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µm，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比表面积为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≤10 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/g，</w:t>
      </w:r>
      <w:r>
        <w:rPr>
          <w:rFonts w:hint="default" w:eastAsia="仿宋"/>
          <w:sz w:val="32"/>
          <w:szCs w:val="32"/>
          <w:lang w:val="zh-CN" w:bidi="ar"/>
        </w:rPr>
        <w:t xml:space="preserve">Ni含量mol比≤0.25 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制备的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正极材料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在2-4.2V范围内，</w:t>
      </w:r>
      <w:r>
        <w:rPr>
          <w:rFonts w:hint="eastAsia" w:eastAsia="仿宋_GB2312" w:cs="Times New Roman"/>
          <w:sz w:val="32"/>
          <w:szCs w:val="32"/>
          <w:lang w:eastAsia="zh-CN"/>
        </w:rPr>
        <w:t>质量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容量（扣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，0.1C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≥1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mAh/g，1C条件下</w:t>
      </w:r>
      <w:r>
        <w:rPr>
          <w:rFonts w:hint="eastAsia" w:eastAsia="仿宋_GB2312" w:cs="Times New Roman"/>
          <w:sz w:val="32"/>
          <w:szCs w:val="32"/>
          <w:lang w:eastAsia="zh-CN"/>
        </w:rPr>
        <w:t>，质量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容量（扣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，1C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≥1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mAh/g，循环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容量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保持率≥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％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安全性符合相关国家标准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申请发明专利20项以上，形成相关行业、企业标准不少于4项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" w:eastAsia="zh-CN"/>
        </w:rPr>
        <w:t>2.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人才培养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培养专业技术人员20人以上。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" w:eastAsia="zh-CN"/>
        </w:rPr>
        <w:t>3.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经济效益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1）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建</w:t>
      </w:r>
      <w:r>
        <w:rPr>
          <w:rFonts w:hint="eastAsia" w:eastAsia="仿宋_GB2312" w:cs="Times New Roman"/>
          <w:sz w:val="32"/>
          <w:szCs w:val="32"/>
          <w:lang w:val="zh-CN"/>
        </w:rPr>
        <w:t>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超高镍低钴/无钴正极前驱体材料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智能生产线，形成年产1万吨的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前驱体材料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产业化生产线，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成本控制在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eastAsia="仿宋_GB2312" w:cs="Times New Roman"/>
          <w:sz w:val="32"/>
          <w:szCs w:val="32"/>
          <w:lang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eastAsia="仿宋_GB2312" w:cs="Times New Roman"/>
          <w:sz w:val="32"/>
          <w:szCs w:val="32"/>
          <w:lang w:eastAsia="zh-CN"/>
        </w:rPr>
        <w:t>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以下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2）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建</w:t>
      </w:r>
      <w:r>
        <w:rPr>
          <w:rFonts w:hint="eastAsia" w:eastAsia="仿宋_GB2312" w:cs="Times New Roman"/>
          <w:sz w:val="32"/>
          <w:szCs w:val="32"/>
          <w:lang w:val="zh-CN"/>
        </w:rPr>
        <w:t>成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钠离子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电池正极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前驱体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材料智能生产线，形成年产1万吨的钠离子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电池正极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前驱体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材料产业化生产线，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成本控制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在4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万元/吨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以下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" w:eastAsia="zh-CN"/>
        </w:rPr>
        <w:t>资金投入及时限要求：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专项资助不超过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万元，承担单位须提供1.5倍以上配套资金。项目实施周期为3年。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项目2：钠离子电池正极材料产业化关键技术研究及应用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" w:eastAsia="zh-CN"/>
        </w:rPr>
        <w:t>研究内容：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针对钠离子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正极材料产业化研发主要解决能量密度、循环稳定性、成本控制等关键共性问题，开展共沉淀前驱体工艺制备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钠离子电池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正极材料研究，研究掺杂、包覆等对改善材料稳定性和倍率性能的作用机制；开发电化学性能优异、适合于产业化生产的系列钠离子电池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正极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材料，进行工艺精简设计及装备研发，实现钠离子电池正极材料智能化产业化生产。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考核指标：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" w:eastAsia="zh-CN"/>
        </w:rPr>
        <w:t>1.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成果产出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eastAsia" w:eastAsia="仿宋_GB2312" w:cs="Times New Roman"/>
          <w:sz w:val="32"/>
          <w:szCs w:val="32"/>
          <w:lang w:val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制备的</w:t>
      </w:r>
      <w:r>
        <w:rPr>
          <w:rFonts w:hint="eastAsia" w:eastAsia="仿宋_GB2312" w:cs="Times New Roman"/>
          <w:sz w:val="32"/>
          <w:szCs w:val="32"/>
          <w:lang w:val="zh-CN"/>
        </w:rPr>
        <w:t>钠离子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电池</w:t>
      </w:r>
      <w:r>
        <w:rPr>
          <w:rFonts w:hint="eastAsia" w:eastAsia="仿宋_GB2312" w:cs="Times New Roman"/>
          <w:sz w:val="32"/>
          <w:szCs w:val="32"/>
          <w:lang w:val="zh-CN"/>
        </w:rPr>
        <w:t>正极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材料产品优于行业标准，产品pH≤13.0，游离钠（醇系）Na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  <w:lang w:val="zh-CN"/>
        </w:rPr>
        <w:t>+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≤0.1%，比表面积为0.4-1.0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/g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，压实密度≥3.2g/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cm³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，</w:t>
      </w:r>
      <w:r>
        <w:rPr>
          <w:rFonts w:hint="default" w:eastAsia="仿宋"/>
          <w:sz w:val="32"/>
          <w:szCs w:val="32"/>
          <w:lang w:val="zh-CN" w:bidi="ar"/>
        </w:rPr>
        <w:t xml:space="preserve">Ni含量mol比≤0.25 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正极材料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2.0-4.2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V</w:t>
      </w:r>
      <w:r>
        <w:rPr>
          <w:rFonts w:hint="eastAsia" w:eastAsia="仿宋_GB2312" w:cs="Times New Roman"/>
          <w:sz w:val="32"/>
          <w:szCs w:val="32"/>
          <w:lang w:val="zh-CN"/>
        </w:rPr>
        <w:t>范围内，</w:t>
      </w:r>
      <w:r>
        <w:rPr>
          <w:rFonts w:hint="eastAsia" w:eastAsia="仿宋_GB2312" w:cs="Times New Roman"/>
          <w:sz w:val="32"/>
          <w:szCs w:val="32"/>
          <w:lang w:eastAsia="zh-CN"/>
        </w:rPr>
        <w:t>质量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容量（扣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，0.1C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≥16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mAh/g，首次</w:t>
      </w:r>
      <w:r>
        <w:rPr>
          <w:rFonts w:hint="eastAsia" w:eastAsia="仿宋_GB2312" w:cs="Times New Roman"/>
          <w:sz w:val="32"/>
          <w:szCs w:val="32"/>
          <w:lang w:val="zh-CN"/>
        </w:rPr>
        <w:t>库伦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效率≥92%，电压平台≥3.1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V</w:t>
      </w:r>
      <w:r>
        <w:rPr>
          <w:rFonts w:hint="eastAsia" w:eastAsia="仿宋_GB2312" w:cs="Times New Roman"/>
          <w:sz w:val="32"/>
          <w:szCs w:val="32"/>
          <w:lang w:val="zh-CN"/>
        </w:rPr>
        <w:t>，制备的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全电池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1C容量≥1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5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mAh/g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C条件下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循环10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容量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保持率≥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85%</w:t>
      </w:r>
      <w:r>
        <w:rPr>
          <w:rFonts w:hint="eastAsia" w:eastAsia="仿宋_GB2312" w:cs="Times New Roman"/>
          <w:sz w:val="32"/>
          <w:szCs w:val="32"/>
          <w:lang w:val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安全性符合相关国家标准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eastAsia" w:eastAsia="仿宋_GB2312" w:cs="Times New Roman"/>
          <w:sz w:val="32"/>
          <w:szCs w:val="32"/>
          <w:lang w:val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申请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发明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专利10项以上，参与制定相关行业、企业标准3项以上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" w:eastAsia="zh-CN"/>
        </w:rPr>
        <w:t>2.</w:t>
      </w:r>
      <w:r>
        <w:rPr>
          <w:rFonts w:hint="default" w:ascii="Times New Roman" w:hAnsi="Times New Roman" w:eastAsia="方正楷体_GBK" w:cs="Times New Roman"/>
          <w:sz w:val="32"/>
          <w:szCs w:val="32"/>
          <w:lang w:val="zh-CN" w:eastAsia="zh-CN"/>
        </w:rPr>
        <w:t>人才培养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培养专业技术人员10人以上。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" w:eastAsia="zh-CN"/>
        </w:rPr>
        <w:t>3.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经济效益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建</w:t>
      </w:r>
      <w:r>
        <w:rPr>
          <w:rFonts w:hint="eastAsia" w:eastAsia="仿宋_GB2312" w:cs="Times New Roman"/>
          <w:sz w:val="32"/>
          <w:szCs w:val="32"/>
          <w:lang w:val="zh-CN"/>
        </w:rPr>
        <w:t>成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钠离子正极材料智能生产线，形成年产1万吨的钠离子电池正极材料产业化生产线，成本控制在5</w:t>
      </w:r>
      <w:r>
        <w:rPr>
          <w:rFonts w:hint="eastAsia" w:eastAsia="仿宋_GB2312" w:cs="Times New Roman"/>
          <w:sz w:val="32"/>
          <w:szCs w:val="32"/>
          <w:lang w:val="zh-CN"/>
        </w:rPr>
        <w:t>万元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/吨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" w:eastAsia="zh-CN"/>
        </w:rPr>
        <w:t>资金投入及时限要求：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专项资助不超过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万元，承担单位须提供1.5倍以上配套资金。项目实施周期为3年。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项目3：超高镍低钴/无钴正极材料关键技术研究与应用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研究内容：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以提高超高镍低钴/无钴正极材料的电化学性能和循环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稳定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性为目标，优化设计超高镍低钴/无钴正极材料结构及制备工艺，研究超高镍低钴/无钴正极材料包覆、掺杂改性及材料构效关系，研究改性超高镍正极材料结构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性能，优化设计超高镍低钴/无钴正极材料制备工艺及装备，开发超高镍低钴/无钴正极材料无水化制备成套技术并实现产业化应用。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考核指标：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" w:eastAsia="zh-CN"/>
        </w:rPr>
        <w:t>1.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成果产出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制备的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超高镍低钴/无钴正极材料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产品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优于行业标准，产品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镍含量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90%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、热稳定性DSC测试热失控起始温度≥216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℃、材料表面残余碱量氢氧化锂≤4500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ppm，碳酸锂≤2500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ppm，</w:t>
      </w:r>
      <w:r>
        <w:rPr>
          <w:rFonts w:hint="eastAsia" w:eastAsia="仿宋_GB2312" w:cs="Times New Roman"/>
          <w:sz w:val="32"/>
          <w:szCs w:val="32"/>
          <w:lang w:eastAsia="zh-CN"/>
        </w:rPr>
        <w:t>制备的正极材料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质量比容量（扣式电池，0.1C）≥230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mAh/g，1C容量≥208 mAh/g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电芯能量密度≥350 Wh/kg，</w:t>
      </w:r>
      <w:r>
        <w:rPr>
          <w:rFonts w:hint="eastAsia" w:eastAsia="仿宋_GB2312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1C条件下循环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容量保持率≥8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安全性符合相关国家标准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申请发明专利10项以上，参与形成相关行业、企业标准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3项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以上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" w:eastAsia="zh-CN"/>
        </w:rPr>
        <w:t>2.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人才培养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培养专业技术人员10名以上。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" w:eastAsia="zh-CN"/>
        </w:rPr>
        <w:t>3.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经济效益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eastAsia" w:eastAsia="仿宋_GB2312" w:cs="Times New Roman"/>
          <w:sz w:val="32"/>
          <w:szCs w:val="32"/>
          <w:lang w:val="zh-CN" w:eastAsia="zh-CN"/>
        </w:rPr>
        <w:t>形成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年产1万吨的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超高镍低钴/无钴正极材料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产业化生产线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；开发的超高镍低钴/无钴正极材料产品，成本控制在15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以下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" w:eastAsia="zh-CN"/>
        </w:rPr>
        <w:t>资金投入及时限要求：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专项资助不超过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万元，承担单位须提供1.5倍以上配套资金。项目实施周期为3年。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项目4：长寿命、低成本钠离子电池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硬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碳负极材料工程化制备关键技术研究与示范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研究内容：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以突破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长寿命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、低成本钠离子电池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碳负极材料产业化制备关键技术为目标，通过前驱体筛选、预处理改性、碳化热解工艺优化等途径进行碳负极材料的结构设计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与制备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，研究钠离子电池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碳负极材料中试制备工艺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工程化制备关键技术，全面评估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碳负极材料的电化学性能，揭示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碳负极材料的构效关系与储能机制，阐明实际工况下影响钠离子电池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碳负极材料电化学性能的关键因素；研究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碳负极材料的批次稳定性，突破其放大制备技术，实现高性能、低成本钠离子电池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碳负极材料的产业化生产。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考核指标：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" w:eastAsia="zh-CN"/>
        </w:rPr>
        <w:t>1.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成果产出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eastAsia" w:eastAsia="仿宋_GB2312" w:cs="Times New Roman"/>
          <w:sz w:val="32"/>
          <w:szCs w:val="32"/>
          <w:lang w:val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研发的钠离子电池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硬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碳负极材料压实密度≥0.9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 xml:space="preserve"> g/cm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  <w:lang w:val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，灰分≤0.5%；</w:t>
      </w:r>
      <w:r>
        <w:rPr>
          <w:rFonts w:hint="eastAsia" w:eastAsia="仿宋_GB2312" w:cs="Times New Roman"/>
          <w:sz w:val="32"/>
          <w:szCs w:val="32"/>
          <w:lang w:val="zh-CN"/>
        </w:rPr>
        <w:t>质量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比容量（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扣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，0.1C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≥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0 mAh/g，首次库伦效率≥90%；</w:t>
      </w:r>
      <w:r>
        <w:rPr>
          <w:rFonts w:hint="eastAsia" w:eastAsia="仿宋_GB2312" w:cs="Times New Roman"/>
          <w:sz w:val="32"/>
          <w:szCs w:val="32"/>
          <w:lang w:val="zh-CN"/>
        </w:rPr>
        <w:t>制备的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2Ah以上软包全电池在1C</w:t>
      </w:r>
      <w:r>
        <w:rPr>
          <w:rFonts w:hint="eastAsia" w:eastAsia="仿宋_GB2312" w:cs="Times New Roman"/>
          <w:sz w:val="32"/>
          <w:szCs w:val="32"/>
          <w:lang w:val="zh-CN"/>
        </w:rPr>
        <w:t>条件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下循环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000次，容量保持率≥8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eastAsia" w:eastAsia="仿宋_GB2312" w:cs="Times New Roman"/>
          <w:sz w:val="32"/>
          <w:szCs w:val="32"/>
          <w:lang w:val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申请发明专利10项以上，形成相关行业、企业标准3项以上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" w:eastAsia="zh-CN"/>
        </w:rPr>
        <w:t>2.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人才培养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培养专业技术人员10人以上。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" w:eastAsia="zh-CN"/>
        </w:rPr>
        <w:t>3.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经济效益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建</w:t>
      </w:r>
      <w:r>
        <w:rPr>
          <w:rFonts w:hint="eastAsia" w:eastAsia="仿宋_GB2312" w:cs="Times New Roman"/>
          <w:sz w:val="32"/>
          <w:szCs w:val="32"/>
          <w:lang w:val="zh-CN"/>
        </w:rPr>
        <w:t>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硬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碳负极材料的自动化生产线，形成年产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千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级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硬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碳负极材料产业化生产线，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控制在5</w:t>
      </w:r>
      <w:r>
        <w:rPr>
          <w:rFonts w:hint="eastAsia" w:eastAsia="仿宋_GB2312" w:cs="Times New Roman"/>
          <w:sz w:val="32"/>
          <w:szCs w:val="32"/>
          <w:lang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eastAsia="仿宋_GB2312" w:cs="Times New Roman"/>
          <w:sz w:val="32"/>
          <w:szCs w:val="32"/>
          <w:lang w:eastAsia="zh-CN"/>
        </w:rPr>
        <w:t>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以下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" w:eastAsia="zh-CN"/>
        </w:rPr>
        <w:t>资金投入及时限要求：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专项资助不超过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万元，承担单位须提供1.5倍以上配套资金。项目实施周期为3年。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项目5：锂离子电池新型硅碳负极材料关键技术及工程化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研究内容：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以制备高容量、长寿命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锂离子电池硅碳负极材料为目标，优化设计硅碳复合材料结构及制备工艺，研究硅碳复合材料构效关系，研究低成本、高效率的补锂技术，研究硅碳负极/电解质界面反应及性能，优化设计材料结构，研究高容量、长寿命锂离子电池硅碳负极材料中试制备技术，完成硅碳复合负极材料在软包全电池中的验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考核指标：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" w:eastAsia="zh-CN"/>
        </w:rPr>
        <w:t>1.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成果产出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制备的纯硅碳负极材料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0.05-1.5 V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范围内，质量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比容量（扣电，0.1C）≥1900 mAh/g，首次库伦效率≥91%；硅碳复合负极材料</w:t>
      </w:r>
      <w:r>
        <w:rPr>
          <w:rFonts w:hint="eastAsia" w:eastAsia="仿宋_GB2312" w:cs="Times New Roman"/>
          <w:sz w:val="32"/>
          <w:szCs w:val="32"/>
          <w:lang w:val="zh-CN"/>
        </w:rPr>
        <w:t>质量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比容量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（扣电，0.1C）≥450 mAh/g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制备的全电池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1C下循环1000次，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容量保持率≥8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申请发明专利10项以上，形成相关行业、企业标准3项以上。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" w:eastAsia="zh-CN"/>
        </w:rPr>
        <w:t>2.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人才培养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培养专业技术人员10人以上。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" w:eastAsia="zh-CN"/>
        </w:rPr>
        <w:t>3.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经济效益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建</w:t>
      </w:r>
      <w:r>
        <w:rPr>
          <w:rFonts w:hint="eastAsia" w:eastAsia="仿宋_GB2312" w:cs="Times New Roman"/>
          <w:sz w:val="32"/>
          <w:szCs w:val="32"/>
          <w:lang w:val="zh-CN"/>
        </w:rPr>
        <w:t>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硅碳复合负极材料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的自动化生产线，形成年产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千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级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硅碳复合负极材料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产业化生产线，</w:t>
      </w:r>
      <w:r>
        <w:rPr>
          <w:rFonts w:hint="eastAsia" w:eastAsia="仿宋_GB2312" w:cs="Times New Roman"/>
          <w:sz w:val="32"/>
          <w:szCs w:val="32"/>
          <w:lang w:val="zh-CN"/>
        </w:rPr>
        <w:t>质量比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容量450mAh/g硅碳复合负极材料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的成本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控制在5</w:t>
      </w:r>
      <w:r>
        <w:rPr>
          <w:rFonts w:hint="eastAsia" w:eastAsia="仿宋_GB2312" w:cs="Times New Roman"/>
          <w:sz w:val="32"/>
          <w:szCs w:val="32"/>
          <w:lang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eastAsia="仿宋_GB2312" w:cs="Times New Roman"/>
          <w:sz w:val="32"/>
          <w:szCs w:val="32"/>
          <w:lang w:eastAsia="zh-CN"/>
        </w:rPr>
        <w:t>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以下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" w:eastAsia="zh-CN"/>
        </w:rPr>
        <w:t>资金投入及时限要求：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专项资助不超过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万元，承担单位须提供1.5倍以上配套资金。项目实施周期为3年。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项目6：新一代动力电池用固态电解质制备关键技术研究与工程化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研究内容：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针对固态电解质离子电导率低这一关键共性问题，开展高电导固态电解质技术研究，解析固态电解质与空气、溶剂以及粘结剂等相互作用机制，开发出高环境适应性、高离子电导</w:t>
      </w:r>
      <w:r>
        <w:rPr>
          <w:rFonts w:hint="eastAsia" w:eastAsia="仿宋_GB2312" w:cs="Times New Roman"/>
          <w:sz w:val="32"/>
          <w:szCs w:val="32"/>
          <w:lang w:eastAsia="zh-CN"/>
        </w:rPr>
        <w:t>率的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固态电解质体系；探究固态电解质与正、负极界面稳定化机制，获取固态电解质膜的电化学稳定性和界面稳定性有效控制策略，开展固态电解质批量化制备工艺研究，开发出可连续生产的超薄固态电解质膜；突破规模化、连续化固态超薄电解质膜制造工艺技术，掌握超薄固态电解质膜规模量产技术并形成批量化生产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考核指标：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" w:eastAsia="zh-CN"/>
        </w:rPr>
        <w:t>1.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成果产出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固态电解质成膜厚度≤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μm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室温离子电导率≥1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mS/cm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电化学窗口≥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4.8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V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电芯容量≥40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Ah，能量密度≥450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Wh/kg，</w:t>
      </w:r>
      <w:r>
        <w:rPr>
          <w:rFonts w:hint="eastAsia" w:eastAsia="仿宋_GB2312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1C充</w:t>
      </w:r>
      <w:r>
        <w:rPr>
          <w:rFonts w:hint="eastAsia" w:eastAsia="仿宋_GB2312" w:cs="Times New Roman"/>
          <w:sz w:val="32"/>
          <w:szCs w:val="32"/>
          <w:lang w:eastAsia="zh-CN"/>
        </w:rPr>
        <w:t>条件下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循环1000次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容量保持率≥80%；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安全性符合相关国家标准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申请发明专利10项以上，形成相关行业或企业标准3 项以上。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" w:eastAsia="zh-CN"/>
        </w:rPr>
        <w:t>2.人才培养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培养专业技术人员10人以上。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" w:eastAsia="zh-CN"/>
        </w:rPr>
        <w:t>3.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经济效益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形成年产能百吨级固态电解质生产线，成本控制在200元/kg以下。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" w:eastAsia="zh-CN"/>
        </w:rPr>
        <w:t>资金投入及时限要求：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专项资助不超过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万元，承担单位须提供1.5倍以上配套资金。项目实施周期为3年。</w:t>
      </w:r>
    </w:p>
    <w:sectPr>
      <w:footerReference r:id="rId3" w:type="default"/>
      <w:pgSz w:w="11906" w:h="16838"/>
      <w:pgMar w:top="1270" w:right="1633" w:bottom="1270" w:left="163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OTcxYTBmZWRiOGRjYzJjZGZlOTY5MWQyZTZjYjMifQ=="/>
  </w:docVars>
  <w:rsids>
    <w:rsidRoot w:val="18C70C27"/>
    <w:rsid w:val="00237F79"/>
    <w:rsid w:val="00381EED"/>
    <w:rsid w:val="005203DF"/>
    <w:rsid w:val="00681FCB"/>
    <w:rsid w:val="006A679E"/>
    <w:rsid w:val="00790DD3"/>
    <w:rsid w:val="00961254"/>
    <w:rsid w:val="00990259"/>
    <w:rsid w:val="009F7630"/>
    <w:rsid w:val="00AF2FF4"/>
    <w:rsid w:val="00B00C92"/>
    <w:rsid w:val="00B14516"/>
    <w:rsid w:val="00BE3E28"/>
    <w:rsid w:val="00C72F1A"/>
    <w:rsid w:val="00C95F0D"/>
    <w:rsid w:val="00CF0F9B"/>
    <w:rsid w:val="00DC6BFF"/>
    <w:rsid w:val="00F81502"/>
    <w:rsid w:val="00FF715E"/>
    <w:rsid w:val="01F25C60"/>
    <w:rsid w:val="028E13EB"/>
    <w:rsid w:val="05550C63"/>
    <w:rsid w:val="06086463"/>
    <w:rsid w:val="07113F1B"/>
    <w:rsid w:val="09A22909"/>
    <w:rsid w:val="0A125AAA"/>
    <w:rsid w:val="0D2F2366"/>
    <w:rsid w:val="0DFF660F"/>
    <w:rsid w:val="0EBD7FE9"/>
    <w:rsid w:val="0EFF5833"/>
    <w:rsid w:val="129F51E6"/>
    <w:rsid w:val="15CB0FF5"/>
    <w:rsid w:val="172474E2"/>
    <w:rsid w:val="18C70C27"/>
    <w:rsid w:val="19FEF474"/>
    <w:rsid w:val="1D7F406E"/>
    <w:rsid w:val="1FAF983F"/>
    <w:rsid w:val="21B01A71"/>
    <w:rsid w:val="238A08A5"/>
    <w:rsid w:val="275B0E2A"/>
    <w:rsid w:val="27AD19FD"/>
    <w:rsid w:val="2AA70952"/>
    <w:rsid w:val="2D5B22C8"/>
    <w:rsid w:val="2D72409F"/>
    <w:rsid w:val="33645FDD"/>
    <w:rsid w:val="35605680"/>
    <w:rsid w:val="36873BAC"/>
    <w:rsid w:val="377D19F4"/>
    <w:rsid w:val="377E0EC2"/>
    <w:rsid w:val="377F9E64"/>
    <w:rsid w:val="392113FB"/>
    <w:rsid w:val="3BBF977A"/>
    <w:rsid w:val="3C7E913B"/>
    <w:rsid w:val="3DE7738F"/>
    <w:rsid w:val="3E522CF1"/>
    <w:rsid w:val="3FD5249F"/>
    <w:rsid w:val="3FEFE88A"/>
    <w:rsid w:val="42383FAC"/>
    <w:rsid w:val="42AD499A"/>
    <w:rsid w:val="477446C0"/>
    <w:rsid w:val="49FBE257"/>
    <w:rsid w:val="4D9320F1"/>
    <w:rsid w:val="4FC8D55A"/>
    <w:rsid w:val="4FFF2CA0"/>
    <w:rsid w:val="50DC3489"/>
    <w:rsid w:val="511E1380"/>
    <w:rsid w:val="538E2854"/>
    <w:rsid w:val="5406215C"/>
    <w:rsid w:val="55777DA6"/>
    <w:rsid w:val="57FFFB72"/>
    <w:rsid w:val="5AC266B1"/>
    <w:rsid w:val="5BFD7CDB"/>
    <w:rsid w:val="5C90184F"/>
    <w:rsid w:val="5D3CD5E9"/>
    <w:rsid w:val="5D5FA0E7"/>
    <w:rsid w:val="5E5B6D15"/>
    <w:rsid w:val="5E7FA5A8"/>
    <w:rsid w:val="5EFF690A"/>
    <w:rsid w:val="61615041"/>
    <w:rsid w:val="63FF7FF7"/>
    <w:rsid w:val="67E726DB"/>
    <w:rsid w:val="67F9C909"/>
    <w:rsid w:val="6C5E7449"/>
    <w:rsid w:val="6D6E69A4"/>
    <w:rsid w:val="6DFF08A0"/>
    <w:rsid w:val="6EAFEDA8"/>
    <w:rsid w:val="6EFFFC2E"/>
    <w:rsid w:val="6FA10C39"/>
    <w:rsid w:val="6FFFF2FA"/>
    <w:rsid w:val="706D0748"/>
    <w:rsid w:val="70DC0599"/>
    <w:rsid w:val="71D2AE38"/>
    <w:rsid w:val="727FDD64"/>
    <w:rsid w:val="73FF1FCE"/>
    <w:rsid w:val="74B302B6"/>
    <w:rsid w:val="7510381D"/>
    <w:rsid w:val="76CFF332"/>
    <w:rsid w:val="7776E371"/>
    <w:rsid w:val="777917E3"/>
    <w:rsid w:val="77EE039C"/>
    <w:rsid w:val="77FB3DDF"/>
    <w:rsid w:val="794824A5"/>
    <w:rsid w:val="79FE4E39"/>
    <w:rsid w:val="7DD6AB38"/>
    <w:rsid w:val="7DEDA5BD"/>
    <w:rsid w:val="7DFF6509"/>
    <w:rsid w:val="7EC3C533"/>
    <w:rsid w:val="7EC5F240"/>
    <w:rsid w:val="7F1FB319"/>
    <w:rsid w:val="7F5CCA7A"/>
    <w:rsid w:val="7F6F1D4A"/>
    <w:rsid w:val="7F6F99AF"/>
    <w:rsid w:val="7FCE0248"/>
    <w:rsid w:val="7FDF50CB"/>
    <w:rsid w:val="7FDFB1EE"/>
    <w:rsid w:val="7FEDE127"/>
    <w:rsid w:val="7FF22B8E"/>
    <w:rsid w:val="7FFD67D3"/>
    <w:rsid w:val="7FFE4FDC"/>
    <w:rsid w:val="7FFF2B42"/>
    <w:rsid w:val="83FBA0DE"/>
    <w:rsid w:val="85E993CD"/>
    <w:rsid w:val="8AFDDF5C"/>
    <w:rsid w:val="9F971AD6"/>
    <w:rsid w:val="AFEB9397"/>
    <w:rsid w:val="AFFAAF36"/>
    <w:rsid w:val="B3D21DA3"/>
    <w:rsid w:val="B5DC6654"/>
    <w:rsid w:val="B7BBF2E6"/>
    <w:rsid w:val="BD1FE0DC"/>
    <w:rsid w:val="BDFDD823"/>
    <w:rsid w:val="BE3DF288"/>
    <w:rsid w:val="BEBE3E1F"/>
    <w:rsid w:val="BFF772BB"/>
    <w:rsid w:val="CDBF713D"/>
    <w:rsid w:val="CEB7DF9A"/>
    <w:rsid w:val="D7FDF6F9"/>
    <w:rsid w:val="DCDF234B"/>
    <w:rsid w:val="DDBF3986"/>
    <w:rsid w:val="DDD92B77"/>
    <w:rsid w:val="DE7F1771"/>
    <w:rsid w:val="DEFF56B9"/>
    <w:rsid w:val="DF77E488"/>
    <w:rsid w:val="DFA862D1"/>
    <w:rsid w:val="DFF455AC"/>
    <w:rsid w:val="DFFFD191"/>
    <w:rsid w:val="E4DF42AC"/>
    <w:rsid w:val="E7C4E8B4"/>
    <w:rsid w:val="ECF7B54F"/>
    <w:rsid w:val="EFFE22F6"/>
    <w:rsid w:val="F67FF1B8"/>
    <w:rsid w:val="F7DF0BBB"/>
    <w:rsid w:val="F9FFC38E"/>
    <w:rsid w:val="FA3AEEB5"/>
    <w:rsid w:val="FD3F661C"/>
    <w:rsid w:val="FDDF8960"/>
    <w:rsid w:val="FDF33C07"/>
    <w:rsid w:val="FE57B153"/>
    <w:rsid w:val="FE6F1D16"/>
    <w:rsid w:val="FE7A9926"/>
    <w:rsid w:val="FF3B3C9A"/>
    <w:rsid w:val="FF9FC0FB"/>
    <w:rsid w:val="FFAF564D"/>
    <w:rsid w:val="FFBD4278"/>
    <w:rsid w:val="FFCE1694"/>
    <w:rsid w:val="FFCF5835"/>
    <w:rsid w:val="FFDD25BF"/>
    <w:rsid w:val="FFDF3C40"/>
    <w:rsid w:val="FFE7CA5A"/>
    <w:rsid w:val="FFEF0E81"/>
    <w:rsid w:val="FFF32CDB"/>
    <w:rsid w:val="FFF67634"/>
    <w:rsid w:val="FFFE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asciiTheme="minorHAnsi" w:hAnsiTheme="minorHAnsi" w:eastAsiaTheme="minorEastAsia" w:cstheme="minorBidi"/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</w:style>
  <w:style w:type="paragraph" w:styleId="4">
    <w:name w:val="Body Text"/>
    <w:basedOn w:val="1"/>
    <w:next w:val="1"/>
    <w:qFormat/>
    <w:uiPriority w:val="0"/>
    <w:pPr>
      <w:spacing w:after="140" w:line="276" w:lineRule="auto"/>
    </w:pPr>
  </w:style>
  <w:style w:type="paragraph" w:styleId="5">
    <w:name w:val="Body Text Indent"/>
    <w:basedOn w:val="1"/>
    <w:next w:val="6"/>
    <w:qFormat/>
    <w:uiPriority w:val="0"/>
    <w:pPr>
      <w:ind w:left="868" w:hanging="868"/>
    </w:pPr>
    <w:rPr>
      <w:rFonts w:ascii="宋体"/>
      <w:sz w:val="28"/>
      <w:szCs w:val="20"/>
    </w:rPr>
  </w:style>
  <w:style w:type="paragraph" w:styleId="6">
    <w:name w:val="Body Text Indent 2"/>
    <w:basedOn w:val="1"/>
    <w:qFormat/>
    <w:uiPriority w:val="0"/>
    <w:pPr>
      <w:tabs>
        <w:tab w:val="left" w:pos="14"/>
      </w:tabs>
      <w:ind w:firstLine="567"/>
    </w:pPr>
    <w:rPr>
      <w:color w:val="000000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2">
    <w:name w:val="Emphasis"/>
    <w:basedOn w:val="11"/>
    <w:qFormat/>
    <w:uiPriority w:val="0"/>
    <w:rPr>
      <w:i/>
    </w:rPr>
  </w:style>
  <w:style w:type="paragraph" w:customStyle="1" w:styleId="13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549</Words>
  <Characters>3132</Characters>
  <Lines>26</Lines>
  <Paragraphs>7</Paragraphs>
  <TotalTime>4</TotalTime>
  <ScaleCrop>false</ScaleCrop>
  <LinksUpToDate>false</LinksUpToDate>
  <CharactersWithSpaces>3674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2022-04-02T20:52:00Z</dcterms:created>
  <dc:creator>梁正华</dc:creator>
  <cp:lastModifiedBy>ysgz</cp:lastModifiedBy>
  <cp:lastPrinted>2024-05-17T13:37:03Z</cp:lastPrinted>
  <dcterms:modified xsi:type="dcterms:W3CDTF">2024-05-17T13:39:41Z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8ADD929CF38B45B586FCEB1B814FC502_13</vt:lpwstr>
  </property>
</Properties>
</file>